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01"/>
        <w:gridCol w:w="8415"/>
      </w:tblGrid>
      <w:tr w:rsidR="00D86E0C" w:rsidTr="0047640D">
        <w:tc>
          <w:tcPr>
            <w:tcW w:w="11016" w:type="dxa"/>
            <w:gridSpan w:val="2"/>
            <w:tcBorders>
              <w:top w:val="nil"/>
              <w:left w:val="nil"/>
              <w:right w:val="nil"/>
            </w:tcBorders>
          </w:tcPr>
          <w:p w:rsidR="00D86E0C" w:rsidRDefault="007339FC">
            <w:pPr>
              <w:spacing w:after="0" w:line="360" w:lineRule="auto"/>
              <w:rPr>
                <w:rStyle w:val="IntenseReference"/>
              </w:rPr>
            </w:pPr>
            <w:r>
              <w:rPr>
                <w:rStyle w:val="IntenseReference"/>
                <w:sz w:val="28"/>
              </w:rPr>
              <w:t>GENERAL INFORMATION</w:t>
            </w:r>
          </w:p>
        </w:tc>
      </w:tr>
      <w:tr w:rsidR="00D86E0C" w:rsidTr="0047640D">
        <w:tc>
          <w:tcPr>
            <w:tcW w:w="11016" w:type="dxa"/>
            <w:gridSpan w:val="2"/>
            <w:tcBorders>
              <w:bottom w:val="nil"/>
              <w:right w:val="nil"/>
            </w:tcBorders>
          </w:tcPr>
          <w:p w:rsidR="00D86E0C" w:rsidRDefault="007339F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462"/>
            </w:pPr>
            <w:r>
              <w:rPr>
                <w:b/>
              </w:rPr>
              <w:t>NAME OF THE CENTER AND LOCATION</w:t>
            </w:r>
          </w:p>
        </w:tc>
      </w:tr>
      <w:tr w:rsidR="00D86E0C" w:rsidTr="0047640D">
        <w:tc>
          <w:tcPr>
            <w:tcW w:w="2601" w:type="dxa"/>
            <w:vMerge w:val="restart"/>
            <w:tcBorders>
              <w:top w:val="nil"/>
              <w:left w:val="nil"/>
              <w:bottom w:val="nil"/>
            </w:tcBorders>
          </w:tcPr>
          <w:p w:rsidR="00D86E0C" w:rsidRDefault="00D86E0C">
            <w:pPr>
              <w:spacing w:after="0" w:line="360" w:lineRule="auto"/>
            </w:pPr>
            <w:bookmarkStart w:id="0" w:name="Name"/>
            <w:bookmarkEnd w:id="0"/>
          </w:p>
        </w:tc>
        <w:tc>
          <w:tcPr>
            <w:tcW w:w="8415" w:type="dxa"/>
            <w:tcBorders>
              <w:top w:val="nil"/>
              <w:bottom w:val="nil"/>
              <w:right w:val="nil"/>
            </w:tcBorders>
          </w:tcPr>
          <w:p w:rsidR="00421355" w:rsidRDefault="00421355">
            <w:pPr>
              <w:spacing w:after="0" w:line="360" w:lineRule="auto"/>
              <w:jc w:val="both"/>
              <w:rPr>
                <w:i/>
              </w:rPr>
            </w:pPr>
            <w:r>
              <w:rPr>
                <w:i/>
              </w:rPr>
              <w:t>Department of Virology,</w:t>
            </w:r>
          </w:p>
          <w:p w:rsidR="00D86E0C" w:rsidRDefault="00421355">
            <w:pPr>
              <w:spacing w:after="0"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 w:rsidR="007339FC">
              <w:rPr>
                <w:i/>
              </w:rPr>
              <w:t xml:space="preserve">The Stephan </w:t>
            </w:r>
            <w:proofErr w:type="spellStart"/>
            <w:r w:rsidR="007339FC">
              <w:rPr>
                <w:i/>
              </w:rPr>
              <w:t>Angeloff</w:t>
            </w:r>
            <w:proofErr w:type="spellEnd"/>
            <w:r w:rsidR="007339FC">
              <w:rPr>
                <w:i/>
              </w:rPr>
              <w:t xml:space="preserve"> Institute of Microbiology, Bulgarian Academy of Sciences</w:t>
            </w:r>
          </w:p>
          <w:p w:rsidR="00D86E0C" w:rsidRDefault="007339FC">
            <w:pPr>
              <w:spacing w:after="0"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26, Academician Georgi </w:t>
            </w:r>
            <w:proofErr w:type="spellStart"/>
            <w:r>
              <w:rPr>
                <w:i/>
              </w:rPr>
              <w:t>Bonchev</w:t>
            </w:r>
            <w:proofErr w:type="spellEnd"/>
            <w:r>
              <w:rPr>
                <w:i/>
              </w:rPr>
              <w:t xml:space="preserve"> Str., BG-1113, Sofia, Bulgaria</w:t>
            </w:r>
            <w:bookmarkStart w:id="1" w:name="_GoBack"/>
            <w:bookmarkEnd w:id="1"/>
          </w:p>
        </w:tc>
      </w:tr>
      <w:tr w:rsidR="00D86E0C" w:rsidTr="0047640D">
        <w:tc>
          <w:tcPr>
            <w:tcW w:w="2601" w:type="dxa"/>
            <w:vMerge/>
            <w:tcBorders>
              <w:top w:val="nil"/>
              <w:left w:val="nil"/>
            </w:tcBorders>
          </w:tcPr>
          <w:p w:rsidR="00D86E0C" w:rsidRDefault="00D86E0C">
            <w:pPr>
              <w:spacing w:after="0" w:line="360" w:lineRule="auto"/>
              <w:rPr>
                <w:lang w:val="it-IT"/>
              </w:rPr>
            </w:pPr>
            <w:bookmarkStart w:id="2" w:name="Acronym"/>
            <w:bookmarkEnd w:id="2"/>
          </w:p>
        </w:tc>
        <w:tc>
          <w:tcPr>
            <w:tcW w:w="8415" w:type="dxa"/>
            <w:tcBorders>
              <w:top w:val="nil"/>
              <w:right w:val="nil"/>
            </w:tcBorders>
          </w:tcPr>
          <w:p w:rsidR="00D86E0C" w:rsidRDefault="00D86E0C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D86E0C" w:rsidTr="0047640D">
        <w:tc>
          <w:tcPr>
            <w:tcW w:w="11016" w:type="dxa"/>
            <w:gridSpan w:val="2"/>
            <w:tcBorders>
              <w:bottom w:val="nil"/>
              <w:right w:val="nil"/>
            </w:tcBorders>
          </w:tcPr>
          <w:p w:rsidR="00D86E0C" w:rsidRDefault="007339F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462"/>
              <w:rPr>
                <w:b/>
              </w:rPr>
            </w:pPr>
            <w:r>
              <w:rPr>
                <w:b/>
              </w:rPr>
              <w:t>TYPE OF THE RESEARCH INFRASTRUCTURE AND/OR SCIENTIFIC EXPERTISE</w:t>
            </w:r>
          </w:p>
        </w:tc>
      </w:tr>
      <w:tr w:rsidR="00D86E0C" w:rsidTr="0047640D">
        <w:tc>
          <w:tcPr>
            <w:tcW w:w="2601" w:type="dxa"/>
            <w:tcBorders>
              <w:top w:val="nil"/>
              <w:left w:val="nil"/>
              <w:bottom w:val="nil"/>
            </w:tcBorders>
          </w:tcPr>
          <w:p w:rsidR="00D86E0C" w:rsidRDefault="007339FC">
            <w:pPr>
              <w:spacing w:after="0" w:line="360" w:lineRule="auto"/>
            </w:pPr>
            <w:r>
              <w:t>Identify the type of the RI, equipment/facilities/ specific research, and in particular linked to COVID-19</w:t>
            </w:r>
            <w:r>
              <w:rPr>
                <w:lang w:val="bg-BG"/>
              </w:rPr>
              <w:t>:</w:t>
            </w:r>
          </w:p>
          <w:p w:rsidR="00D86E0C" w:rsidRDefault="00D86E0C">
            <w:pPr>
              <w:spacing w:after="0" w:line="360" w:lineRule="auto"/>
            </w:pPr>
          </w:p>
          <w:p w:rsidR="00D86E0C" w:rsidRDefault="00D86E0C">
            <w:pPr>
              <w:spacing w:after="0" w:line="360" w:lineRule="auto"/>
            </w:pPr>
            <w:bookmarkStart w:id="3" w:name="Type"/>
            <w:bookmarkEnd w:id="3"/>
          </w:p>
        </w:tc>
        <w:tc>
          <w:tcPr>
            <w:tcW w:w="8415" w:type="dxa"/>
            <w:tcBorders>
              <w:top w:val="nil"/>
              <w:bottom w:val="nil"/>
              <w:right w:val="nil"/>
            </w:tcBorders>
          </w:tcPr>
          <w:p w:rsidR="00D86E0C" w:rsidRDefault="007339FC">
            <w:pPr>
              <w:spacing w:after="0" w:line="360" w:lineRule="auto"/>
              <w:rPr>
                <w:lang w:val="bg-BG"/>
              </w:rPr>
            </w:pPr>
            <w:r>
              <w:t xml:space="preserve">Scientific equipment for biomedical and pharmaceutical research &amp; development: laboratory </w:t>
            </w:r>
            <w:proofErr w:type="gramStart"/>
            <w:r>
              <w:t>units</w:t>
            </w:r>
            <w:proofErr w:type="gramEnd"/>
            <w:r>
              <w:t xml:space="preserve"> 2</w:t>
            </w:r>
            <w:r>
              <w:rPr>
                <w:vertAlign w:val="superscript"/>
              </w:rPr>
              <w:t>nd</w:t>
            </w:r>
            <w:r>
              <w:t xml:space="preserve"> safety level, cell cultures techniques. Specific research: experimental chemotherapy of viral infections – search for inhibitors of viral replication towards viruses from various taxonomic groups (enteroviruses, rhino-, norovirus, toga-, </w:t>
            </w:r>
            <w:proofErr w:type="spellStart"/>
            <w:r>
              <w:t>flavi</w:t>
            </w:r>
            <w:proofErr w:type="spellEnd"/>
            <w:r>
              <w:t xml:space="preserve">-, influenza, </w:t>
            </w:r>
            <w:proofErr w:type="spellStart"/>
            <w:r>
              <w:t>paramyuxo</w:t>
            </w:r>
            <w:proofErr w:type="spellEnd"/>
            <w:r>
              <w:t xml:space="preserve">-, </w:t>
            </w:r>
            <w:proofErr w:type="spellStart"/>
            <w:r>
              <w:t>rhabdo</w:t>
            </w:r>
            <w:proofErr w:type="spellEnd"/>
            <w:r>
              <w:t>-, adeno-, herpes- and poxviruses)</w:t>
            </w:r>
            <w:r>
              <w:rPr>
                <w:lang w:val="bg-BG"/>
              </w:rPr>
              <w:t xml:space="preserve">. </w:t>
            </w:r>
            <w:r>
              <w:rPr>
                <w:lang w:val="en-GB"/>
              </w:rPr>
              <w:t>Screening for anti</w:t>
            </w:r>
            <w:r w:rsidR="0047640D">
              <w:t>vi</w:t>
            </w:r>
            <w:r>
              <w:rPr>
                <w:lang w:val="en-GB"/>
              </w:rPr>
              <w:t xml:space="preserve">ral effects of synthetic and natural substances in vitro in (cell cultures). Viral models selected from taxonomic groups in which containing viruses, causative agents </w:t>
            </w:r>
            <w:proofErr w:type="gramStart"/>
            <w:r>
              <w:rPr>
                <w:lang w:val="en-GB"/>
              </w:rPr>
              <w:t>of  infectious</w:t>
            </w:r>
            <w:proofErr w:type="gramEnd"/>
            <w:r>
              <w:rPr>
                <w:lang w:val="en-GB"/>
              </w:rPr>
              <w:t xml:space="preserve"> diseases. Testing </w:t>
            </w:r>
            <w:proofErr w:type="gramStart"/>
            <w:r>
              <w:rPr>
                <w:lang w:val="en-GB"/>
              </w:rPr>
              <w:t>of  substances</w:t>
            </w:r>
            <w:proofErr w:type="gramEnd"/>
            <w:r>
              <w:rPr>
                <w:lang w:val="en-GB"/>
              </w:rPr>
              <w:t xml:space="preserve"> versus human coronavirus 229E in vitro. Study of biological response modifiers (antioxidants, </w:t>
            </w:r>
            <w:proofErr w:type="spellStart"/>
            <w:r>
              <w:rPr>
                <w:lang w:val="en-GB"/>
              </w:rPr>
              <w:t>immunomodilators</w:t>
            </w:r>
            <w:proofErr w:type="spellEnd"/>
            <w:r>
              <w:rPr>
                <w:lang w:val="en-GB"/>
              </w:rPr>
              <w:t xml:space="preserve">, interferon inducers) as antivirals. Testing of </w:t>
            </w:r>
            <w:proofErr w:type="spellStart"/>
            <w:r>
              <w:rPr>
                <w:lang w:val="en-GB"/>
              </w:rPr>
              <w:t>virucidal</w:t>
            </w:r>
            <w:proofErr w:type="spellEnd"/>
            <w:r>
              <w:rPr>
                <w:lang w:val="en-GB"/>
              </w:rPr>
              <w:t xml:space="preserve"> effects of disinfectants. Combination effects of antivirals in vitro and in vivo (experimental infections in laboratory animals). More than 250 publications on antivirals – 2/3 in international journals. 39 registered innovations and patents on antivirals. Active membership in the International Society for Antiviral Research. Hosting of the International Conference on Antiviral Research in 2011 in Sofia.</w:t>
            </w:r>
          </w:p>
          <w:p w:rsidR="00D86E0C" w:rsidRDefault="00D86E0C">
            <w:pPr>
              <w:spacing w:after="0" w:line="360" w:lineRule="auto"/>
            </w:pPr>
          </w:p>
          <w:p w:rsidR="00D86E0C" w:rsidRDefault="007339FC">
            <w:pPr>
              <w:spacing w:after="0" w:line="360" w:lineRule="auto"/>
            </w:pPr>
            <w:r>
              <w:t xml:space="preserve">KEY WORDS: </w:t>
            </w:r>
          </w:p>
          <w:p w:rsidR="00D86E0C" w:rsidRDefault="007339FC">
            <w:pPr>
              <w:spacing w:after="0" w:line="360" w:lineRule="auto"/>
            </w:pPr>
            <w:r>
              <w:t xml:space="preserve">Expertise in virology – antivirals and biological response modifiers; testing of products of chemical synthesis and </w:t>
            </w:r>
            <w:proofErr w:type="spellStart"/>
            <w:r>
              <w:t>naturalm</w:t>
            </w:r>
            <w:proofErr w:type="spellEnd"/>
            <w:r>
              <w:t xml:space="preserve"> products against viruses causative agents of infection diseases; animal testing; combination effects of  viral inhibitors  </w:t>
            </w:r>
          </w:p>
          <w:p w:rsidR="0047640D" w:rsidRPr="0047640D" w:rsidRDefault="0047640D">
            <w:pPr>
              <w:spacing w:after="0" w:line="360" w:lineRule="auto"/>
              <w:rPr>
                <w:lang w:val="bg-BG"/>
              </w:rPr>
            </w:pPr>
          </w:p>
        </w:tc>
      </w:tr>
      <w:tr w:rsidR="00D86E0C" w:rsidTr="0047640D">
        <w:tc>
          <w:tcPr>
            <w:tcW w:w="11016" w:type="dxa"/>
            <w:gridSpan w:val="2"/>
            <w:tcBorders>
              <w:bottom w:val="nil"/>
              <w:right w:val="nil"/>
            </w:tcBorders>
          </w:tcPr>
          <w:p w:rsidR="00D86E0C" w:rsidRDefault="007339F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462"/>
              <w:rPr>
                <w:b/>
              </w:rPr>
            </w:pPr>
            <w:r>
              <w:rPr>
                <w:b/>
              </w:rPr>
              <w:t xml:space="preserve">TYPE OF THE RESEARCH </w:t>
            </w:r>
          </w:p>
        </w:tc>
      </w:tr>
      <w:tr w:rsidR="00D86E0C" w:rsidTr="0047640D">
        <w:tc>
          <w:tcPr>
            <w:tcW w:w="2601" w:type="dxa"/>
            <w:vMerge w:val="restart"/>
            <w:tcBorders>
              <w:top w:val="nil"/>
              <w:left w:val="nil"/>
              <w:bottom w:val="nil"/>
            </w:tcBorders>
          </w:tcPr>
          <w:p w:rsidR="00D86E0C" w:rsidRDefault="007339FC">
            <w:pPr>
              <w:spacing w:after="0" w:line="360" w:lineRule="auto"/>
            </w:pPr>
            <w:r>
              <w:t xml:space="preserve">Provide information on the research carried on or planned in regard with COVID-19 and other viruses </w:t>
            </w:r>
            <w:bookmarkStart w:id="4" w:name="Kind"/>
            <w:bookmarkEnd w:id="4"/>
          </w:p>
        </w:tc>
        <w:tc>
          <w:tcPr>
            <w:tcW w:w="8415" w:type="dxa"/>
            <w:tcBorders>
              <w:top w:val="nil"/>
              <w:bottom w:val="nil"/>
              <w:right w:val="nil"/>
            </w:tcBorders>
          </w:tcPr>
          <w:p w:rsidR="00D86E0C" w:rsidRDefault="007339FC">
            <w:pPr>
              <w:spacing w:after="0" w:line="360" w:lineRule="auto"/>
              <w:rPr>
                <w:lang w:val="bg-BG"/>
              </w:rPr>
            </w:pPr>
            <w:r>
              <w:t xml:space="preserve">Experimental chemotherapy of viral infections – search for inhibitors of viral replication towards viruses from various taxonomic groups (enteroviruses, rhino-, norovirus, toga-, </w:t>
            </w:r>
            <w:proofErr w:type="spellStart"/>
            <w:r>
              <w:t>flavi</w:t>
            </w:r>
            <w:proofErr w:type="spellEnd"/>
            <w:r>
              <w:t xml:space="preserve">-, influenza, </w:t>
            </w:r>
            <w:proofErr w:type="spellStart"/>
            <w:r>
              <w:t>paramyuxo</w:t>
            </w:r>
            <w:proofErr w:type="spellEnd"/>
            <w:r>
              <w:t xml:space="preserve">-, </w:t>
            </w:r>
            <w:proofErr w:type="spellStart"/>
            <w:r>
              <w:t>rhabdo</w:t>
            </w:r>
            <w:proofErr w:type="spellEnd"/>
            <w:r>
              <w:t>-, adeno-, herpes- and poxviruses)</w:t>
            </w:r>
            <w:r>
              <w:rPr>
                <w:lang w:val="bg-BG"/>
              </w:rPr>
              <w:t xml:space="preserve">. </w:t>
            </w:r>
            <w:r>
              <w:rPr>
                <w:lang w:val="en-GB"/>
              </w:rPr>
              <w:t xml:space="preserve">Screening for </w:t>
            </w:r>
            <w:proofErr w:type="spellStart"/>
            <w:r>
              <w:rPr>
                <w:lang w:val="en-GB"/>
              </w:rPr>
              <w:t>antiral</w:t>
            </w:r>
            <w:proofErr w:type="spellEnd"/>
            <w:r>
              <w:rPr>
                <w:lang w:val="en-GB"/>
              </w:rPr>
              <w:t xml:space="preserve"> effects of synthetic and natural substances in vitro in (cell cultures). Viral models selected from taxonomic groups in which containing </w:t>
            </w:r>
            <w:r>
              <w:rPr>
                <w:lang w:val="en-GB"/>
              </w:rPr>
              <w:lastRenderedPageBreak/>
              <w:t xml:space="preserve">viruses, causative agents </w:t>
            </w:r>
            <w:proofErr w:type="gramStart"/>
            <w:r>
              <w:rPr>
                <w:lang w:val="en-GB"/>
              </w:rPr>
              <w:t>of  infectious</w:t>
            </w:r>
            <w:proofErr w:type="gramEnd"/>
            <w:r>
              <w:rPr>
                <w:lang w:val="en-GB"/>
              </w:rPr>
              <w:t xml:space="preserve"> diseases. Testing </w:t>
            </w:r>
            <w:proofErr w:type="gramStart"/>
            <w:r>
              <w:rPr>
                <w:lang w:val="en-GB"/>
              </w:rPr>
              <w:t>of  substances</w:t>
            </w:r>
            <w:proofErr w:type="gramEnd"/>
            <w:r>
              <w:rPr>
                <w:lang w:val="en-GB"/>
              </w:rPr>
              <w:t xml:space="preserve"> versus human coronavirus 229E in vitro. Study of biological response modifiers (antioxidants, </w:t>
            </w:r>
            <w:proofErr w:type="spellStart"/>
            <w:r>
              <w:rPr>
                <w:lang w:val="en-GB"/>
              </w:rPr>
              <w:t>immunomodilators</w:t>
            </w:r>
            <w:proofErr w:type="spellEnd"/>
            <w:r>
              <w:rPr>
                <w:lang w:val="en-GB"/>
              </w:rPr>
              <w:t xml:space="preserve">, interferon inducers) as antivirals. Testing of </w:t>
            </w:r>
            <w:proofErr w:type="spellStart"/>
            <w:r>
              <w:rPr>
                <w:lang w:val="en-GB"/>
              </w:rPr>
              <w:t>virucidal</w:t>
            </w:r>
            <w:proofErr w:type="spellEnd"/>
            <w:r>
              <w:rPr>
                <w:lang w:val="en-GB"/>
              </w:rPr>
              <w:t xml:space="preserve"> effects of disinfectants. Combination effects of antivirals in vitro and in vivo (experimental infections in laboratory animals).</w:t>
            </w:r>
          </w:p>
          <w:p w:rsidR="00D86E0C" w:rsidRDefault="007339FC">
            <w:pPr>
              <w:spacing w:after="0" w:line="360" w:lineRule="auto"/>
              <w:rPr>
                <w:lang w:val="bg-BG"/>
              </w:rPr>
            </w:pPr>
            <w:r>
              <w:rPr>
                <w:lang w:val="en-GB"/>
              </w:rPr>
              <w:t xml:space="preserve">A project is proposed for testing of 22 compounds (11 developed by the team in </w:t>
            </w:r>
            <w:proofErr w:type="spellStart"/>
            <w:r>
              <w:rPr>
                <w:lang w:val="en-GB"/>
              </w:rPr>
              <w:t>Dedpartment</w:t>
            </w:r>
            <w:proofErr w:type="spellEnd"/>
            <w:r>
              <w:rPr>
                <w:lang w:val="en-GB"/>
              </w:rPr>
              <w:t xml:space="preserve"> of Virology, Inst. Microbiology, Bulg. Acad. Sci. + 10 plant extracts)</w:t>
            </w:r>
          </w:p>
          <w:p w:rsidR="00D86E0C" w:rsidRDefault="007339FC">
            <w:pPr>
              <w:spacing w:after="0" w:line="360" w:lineRule="auto"/>
              <w:rPr>
                <w:lang w:val="bg-BG"/>
              </w:rPr>
            </w:pPr>
            <w:proofErr w:type="gramStart"/>
            <w:r>
              <w:rPr>
                <w:lang w:val="en-GB"/>
              </w:rPr>
              <w:t>towards</w:t>
            </w:r>
            <w:proofErr w:type="gramEnd"/>
            <w:r>
              <w:rPr>
                <w:lang w:val="en-GB"/>
              </w:rPr>
              <w:t xml:space="preserve"> human coronavirus 229E in cell cultures. Referent antiviral: chloroquine.</w:t>
            </w:r>
          </w:p>
        </w:tc>
      </w:tr>
      <w:tr w:rsidR="00D86E0C" w:rsidTr="0047640D">
        <w:tc>
          <w:tcPr>
            <w:tcW w:w="2601" w:type="dxa"/>
            <w:vMerge/>
            <w:tcBorders>
              <w:top w:val="nil"/>
              <w:left w:val="nil"/>
            </w:tcBorders>
          </w:tcPr>
          <w:p w:rsidR="00D86E0C" w:rsidRDefault="00D86E0C">
            <w:pPr>
              <w:spacing w:after="0" w:line="360" w:lineRule="auto"/>
              <w:rPr>
                <w:lang w:val="bg-BG"/>
              </w:rPr>
            </w:pPr>
          </w:p>
        </w:tc>
        <w:tc>
          <w:tcPr>
            <w:tcW w:w="8415" w:type="dxa"/>
            <w:tcBorders>
              <w:top w:val="nil"/>
              <w:right w:val="nil"/>
            </w:tcBorders>
          </w:tcPr>
          <w:p w:rsidR="00D86E0C" w:rsidRDefault="00D86E0C">
            <w:pPr>
              <w:spacing w:after="0" w:line="360" w:lineRule="auto"/>
            </w:pPr>
          </w:p>
        </w:tc>
      </w:tr>
      <w:tr w:rsidR="00D86E0C" w:rsidTr="0047640D">
        <w:tc>
          <w:tcPr>
            <w:tcW w:w="11016" w:type="dxa"/>
            <w:gridSpan w:val="2"/>
            <w:tcBorders>
              <w:bottom w:val="nil"/>
              <w:right w:val="nil"/>
            </w:tcBorders>
          </w:tcPr>
          <w:p w:rsidR="00D86E0C" w:rsidRDefault="007339F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462"/>
              <w:rPr>
                <w:b/>
              </w:rPr>
            </w:pPr>
            <w:r>
              <w:rPr>
                <w:b/>
              </w:rPr>
              <w:t>WEBSITE</w:t>
            </w:r>
          </w:p>
        </w:tc>
      </w:tr>
      <w:tr w:rsidR="00D86E0C" w:rsidTr="0047640D">
        <w:tc>
          <w:tcPr>
            <w:tcW w:w="2601" w:type="dxa"/>
            <w:tcBorders>
              <w:top w:val="nil"/>
              <w:left w:val="nil"/>
            </w:tcBorders>
          </w:tcPr>
          <w:p w:rsidR="00D86E0C" w:rsidRDefault="007339FC">
            <w:pPr>
              <w:spacing w:after="0" w:line="360" w:lineRule="auto"/>
            </w:pPr>
            <w:r>
              <w:t>Provide the internet address:</w:t>
            </w:r>
            <w:bookmarkStart w:id="5" w:name="url"/>
            <w:bookmarkEnd w:id="5"/>
          </w:p>
        </w:tc>
        <w:tc>
          <w:tcPr>
            <w:tcW w:w="8415" w:type="dxa"/>
            <w:tcBorders>
              <w:top w:val="nil"/>
              <w:right w:val="nil"/>
            </w:tcBorders>
          </w:tcPr>
          <w:p w:rsidR="00D86E0C" w:rsidRPr="00986652" w:rsidRDefault="00402517">
            <w:pPr>
              <w:spacing w:after="0" w:line="360" w:lineRule="auto"/>
              <w:rPr>
                <w:i/>
                <w:lang w:val="bg-BG"/>
              </w:rPr>
            </w:pPr>
            <w:hyperlink r:id="rId5" w:history="1">
              <w:r w:rsidR="004C52FB">
                <w:rPr>
                  <w:rStyle w:val="Hyperlink"/>
                </w:rPr>
                <w:t>http://microbio.bas.bg/wordpress/index.php/en/</w:t>
              </w:r>
            </w:hyperlink>
          </w:p>
          <w:p w:rsidR="00D86E0C" w:rsidRDefault="00D86E0C">
            <w:pPr>
              <w:spacing w:after="0" w:line="360" w:lineRule="auto"/>
              <w:rPr>
                <w:i/>
                <w:lang w:val="bg-BG"/>
              </w:rPr>
            </w:pPr>
          </w:p>
        </w:tc>
      </w:tr>
      <w:tr w:rsidR="00D86E0C" w:rsidTr="0047640D">
        <w:tc>
          <w:tcPr>
            <w:tcW w:w="11016" w:type="dxa"/>
            <w:gridSpan w:val="2"/>
            <w:tcBorders>
              <w:bottom w:val="nil"/>
              <w:right w:val="nil"/>
            </w:tcBorders>
          </w:tcPr>
          <w:p w:rsidR="00D86E0C" w:rsidRDefault="007339F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462"/>
            </w:pPr>
            <w:r>
              <w:rPr>
                <w:b/>
              </w:rPr>
              <w:t>BACKGROUND, PUBLICATIONS AND OPEN DATA REPOSITORY</w:t>
            </w:r>
          </w:p>
        </w:tc>
      </w:tr>
      <w:tr w:rsidR="00D86E0C" w:rsidTr="0047640D">
        <w:tc>
          <w:tcPr>
            <w:tcW w:w="2601" w:type="dxa"/>
            <w:tcBorders>
              <w:top w:val="nil"/>
              <w:left w:val="nil"/>
            </w:tcBorders>
          </w:tcPr>
          <w:p w:rsidR="00D86E0C" w:rsidRDefault="007339FC">
            <w:pPr>
              <w:spacing w:after="0" w:line="360" w:lineRule="auto"/>
              <w:rPr>
                <w:b/>
              </w:rPr>
            </w:pPr>
            <w:r>
              <w:t>leading research team AND Scientific publications of the research group on the topics of related to coronaviruses research results</w:t>
            </w:r>
            <w:r>
              <w:rPr>
                <w:b/>
              </w:rPr>
              <w:t>;</w:t>
            </w:r>
          </w:p>
          <w:p w:rsidR="00D86E0C" w:rsidRDefault="007339FC">
            <w:pPr>
              <w:spacing w:after="0" w:line="360" w:lineRule="auto"/>
            </w:pPr>
            <w:r>
              <w:rPr>
                <w:b/>
              </w:rPr>
              <w:t xml:space="preserve">link to open data repository </w:t>
            </w:r>
            <w:bookmarkStart w:id="6" w:name="Background"/>
            <w:bookmarkEnd w:id="6"/>
          </w:p>
        </w:tc>
        <w:tc>
          <w:tcPr>
            <w:tcW w:w="8415" w:type="dxa"/>
            <w:tcBorders>
              <w:top w:val="nil"/>
              <w:right w:val="nil"/>
            </w:tcBorders>
          </w:tcPr>
          <w:p w:rsidR="00D86E0C" w:rsidRDefault="00D86E0C">
            <w:pPr>
              <w:spacing w:after="0" w:line="240" w:lineRule="auto"/>
              <w:jc w:val="both"/>
              <w:rPr>
                <w:lang w:val="bg-BG"/>
              </w:rPr>
            </w:pPr>
          </w:p>
          <w:p w:rsidR="00D86E0C" w:rsidRDefault="007339FC" w:rsidP="00402517">
            <w:pPr>
              <w:spacing w:after="0" w:line="360" w:lineRule="auto"/>
              <w:jc w:val="both"/>
              <w:rPr>
                <w:lang w:val="bg-BG"/>
              </w:rPr>
            </w:pPr>
            <w:r>
              <w:rPr>
                <w:lang w:val="en-GB"/>
              </w:rPr>
              <w:t xml:space="preserve">Sciences from the Department of Virology of the Stephan </w:t>
            </w:r>
            <w:proofErr w:type="spellStart"/>
            <w:r>
              <w:rPr>
                <w:lang w:val="en-GB"/>
              </w:rPr>
              <w:t>Angeloff</w:t>
            </w:r>
            <w:proofErr w:type="spellEnd"/>
            <w:r>
              <w:rPr>
                <w:lang w:val="en-GB"/>
              </w:rPr>
              <w:t xml:space="preserve"> Institute of Microbiology</w:t>
            </w:r>
          </w:p>
          <w:p w:rsidR="00D86E0C" w:rsidRDefault="00D86E0C">
            <w:pPr>
              <w:spacing w:after="0" w:line="240" w:lineRule="auto"/>
              <w:jc w:val="both"/>
              <w:rPr>
                <w:lang w:val="bg-BG"/>
              </w:rPr>
            </w:pPr>
          </w:p>
          <w:p w:rsidR="00D86E0C" w:rsidRDefault="007339FC">
            <w:pPr>
              <w:spacing w:after="0"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More than 250 publications on antivirals – 2/3 in international journals. 39 registered innovations and patents on antivirals. Active membership in the International Society for Antiviral Research. Hosting of the International Conference on Antiviral Research in 2011 in Sofia.</w:t>
            </w:r>
          </w:p>
          <w:p w:rsidR="001431F1" w:rsidRDefault="001431F1">
            <w:pPr>
              <w:spacing w:after="0" w:line="360" w:lineRule="auto"/>
              <w:jc w:val="both"/>
              <w:rPr>
                <w:lang w:val="bg-BG"/>
              </w:rPr>
            </w:pPr>
          </w:p>
          <w:p w:rsidR="00402517" w:rsidRPr="001431F1" w:rsidRDefault="00402517" w:rsidP="00402517">
            <w:pPr>
              <w:suppressAutoHyphens w:val="0"/>
              <w:spacing w:after="0" w:line="360" w:lineRule="auto"/>
              <w:jc w:val="both"/>
              <w:rPr>
                <w:rFonts w:eastAsia="Calibri" w:cs="Times New Roman"/>
                <w:b/>
                <w:szCs w:val="24"/>
                <w:lang w:val="en-GB"/>
              </w:rPr>
            </w:pPr>
            <w:r w:rsidRPr="001431F1">
              <w:rPr>
                <w:rFonts w:eastAsia="Calibri" w:cs="Times New Roman"/>
                <w:b/>
                <w:szCs w:val="24"/>
                <w:lang w:val="en-GB"/>
              </w:rPr>
              <w:t>In-vitro cytotoxicity laboratory:</w:t>
            </w:r>
          </w:p>
          <w:p w:rsidR="00402517" w:rsidRPr="001431F1" w:rsidRDefault="00402517" w:rsidP="00402517">
            <w:pPr>
              <w:suppressAutoHyphens w:val="0"/>
              <w:spacing w:after="0" w:line="360" w:lineRule="auto"/>
              <w:jc w:val="both"/>
              <w:rPr>
                <w:rFonts w:eastAsia="Calibri" w:cs="Times New Roman"/>
                <w:szCs w:val="24"/>
                <w:lang w:val="en-GB"/>
              </w:rPr>
            </w:pPr>
            <w:proofErr w:type="spellStart"/>
            <w:r w:rsidRPr="001431F1">
              <w:rPr>
                <w:rFonts w:eastAsia="Calibri" w:cs="Times New Roman"/>
                <w:szCs w:val="24"/>
                <w:lang w:val="en-GB"/>
              </w:rPr>
              <w:t>Assoc</w:t>
            </w:r>
            <w:proofErr w:type="spellEnd"/>
            <w:r w:rsidRPr="001431F1">
              <w:rPr>
                <w:rFonts w:eastAsia="Calibri" w:cs="Times New Roman"/>
                <w:szCs w:val="24"/>
                <w:lang w:val="en-GB"/>
              </w:rPr>
              <w:t xml:space="preserve"> </w:t>
            </w:r>
            <w:proofErr w:type="spellStart"/>
            <w:r w:rsidRPr="001431F1">
              <w:rPr>
                <w:rFonts w:eastAsia="Calibri" w:cs="Times New Roman"/>
                <w:szCs w:val="24"/>
                <w:lang w:val="en-GB"/>
              </w:rPr>
              <w:t>Prof.</w:t>
            </w:r>
            <w:proofErr w:type="spellEnd"/>
            <w:r w:rsidRPr="001431F1">
              <w:rPr>
                <w:rFonts w:eastAsia="Calibri" w:cs="Times New Roman"/>
                <w:szCs w:val="24"/>
                <w:lang w:val="en-GB"/>
              </w:rPr>
              <w:t xml:space="preserve"> Tanya </w:t>
            </w:r>
            <w:proofErr w:type="spellStart"/>
            <w:r w:rsidRPr="001431F1">
              <w:rPr>
                <w:rFonts w:eastAsia="Calibri" w:cs="Times New Roman"/>
                <w:szCs w:val="24"/>
                <w:lang w:val="en-GB"/>
              </w:rPr>
              <w:t>Topouzova</w:t>
            </w:r>
            <w:proofErr w:type="spellEnd"/>
            <w:r w:rsidRPr="001431F1">
              <w:rPr>
                <w:rFonts w:eastAsia="Calibri" w:cs="Times New Roman"/>
                <w:szCs w:val="24"/>
                <w:lang w:val="en-GB"/>
              </w:rPr>
              <w:t xml:space="preserve"> Hristova, PhD - </w:t>
            </w:r>
            <w:hyperlink r:id="rId6" w:history="1">
              <w:r w:rsidRPr="001431F1">
                <w:rPr>
                  <w:rFonts w:eastAsia="Calibri" w:cs="Times New Roman"/>
                  <w:color w:val="0563C1"/>
                  <w:szCs w:val="24"/>
                  <w:u w:val="single"/>
                  <w:lang w:val="en-GB"/>
                </w:rPr>
                <w:t>topouzova@biofac.uni-sofia.bg</w:t>
              </w:r>
            </w:hyperlink>
          </w:p>
          <w:p w:rsidR="00402517" w:rsidRPr="001431F1" w:rsidRDefault="00402517" w:rsidP="00402517">
            <w:pPr>
              <w:suppressAutoHyphens w:val="0"/>
              <w:spacing w:after="0" w:line="360" w:lineRule="auto"/>
              <w:jc w:val="both"/>
              <w:rPr>
                <w:rFonts w:eastAsia="Calibri" w:cs="Times New Roman"/>
                <w:szCs w:val="24"/>
                <w:lang w:val="en-GB"/>
              </w:rPr>
            </w:pPr>
            <w:r w:rsidRPr="001431F1">
              <w:rPr>
                <w:rFonts w:eastAsia="Calibri" w:cs="Times New Roman"/>
                <w:szCs w:val="24"/>
                <w:lang w:val="en-GB"/>
              </w:rPr>
              <w:t xml:space="preserve">Assist/ </w:t>
            </w:r>
            <w:proofErr w:type="spellStart"/>
            <w:r w:rsidRPr="001431F1">
              <w:rPr>
                <w:rFonts w:eastAsia="Calibri" w:cs="Times New Roman"/>
                <w:szCs w:val="24"/>
                <w:lang w:val="en-GB"/>
              </w:rPr>
              <w:t>Prof.</w:t>
            </w:r>
            <w:proofErr w:type="spellEnd"/>
            <w:r w:rsidRPr="001431F1">
              <w:rPr>
                <w:rFonts w:eastAsia="Calibri" w:cs="Times New Roman"/>
                <w:szCs w:val="24"/>
                <w:lang w:val="en-GB"/>
              </w:rPr>
              <w:t xml:space="preserve"> Georgi </w:t>
            </w:r>
            <w:proofErr w:type="spellStart"/>
            <w:r w:rsidRPr="001431F1">
              <w:rPr>
                <w:rFonts w:eastAsia="Calibri" w:cs="Times New Roman"/>
                <w:szCs w:val="24"/>
                <w:lang w:val="en-GB"/>
              </w:rPr>
              <w:t>Nikolaev</w:t>
            </w:r>
            <w:proofErr w:type="spellEnd"/>
            <w:r w:rsidRPr="001431F1">
              <w:rPr>
                <w:rFonts w:eastAsia="Calibri" w:cs="Times New Roman"/>
                <w:szCs w:val="24"/>
                <w:lang w:val="en-GB"/>
              </w:rPr>
              <w:t xml:space="preserve">, PhD - </w:t>
            </w:r>
            <w:hyperlink r:id="rId7" w:history="1">
              <w:r w:rsidRPr="001431F1">
                <w:rPr>
                  <w:rFonts w:eastAsia="Calibri" w:cs="Times New Roman"/>
                  <w:color w:val="0563C1"/>
                  <w:szCs w:val="24"/>
                  <w:u w:val="single"/>
                  <w:lang w:val="en-GB"/>
                </w:rPr>
                <w:t>gn_georgiev@uni-sofia.bg</w:t>
              </w:r>
            </w:hyperlink>
          </w:p>
          <w:p w:rsidR="00402517" w:rsidRPr="001431F1" w:rsidRDefault="00402517" w:rsidP="00402517">
            <w:pPr>
              <w:suppressAutoHyphens w:val="0"/>
              <w:spacing w:after="0" w:line="360" w:lineRule="auto"/>
              <w:jc w:val="both"/>
              <w:rPr>
                <w:rFonts w:eastAsia="Calibri" w:cs="Times New Roman"/>
                <w:szCs w:val="24"/>
                <w:lang w:val="en-GB"/>
              </w:rPr>
            </w:pPr>
          </w:p>
          <w:p w:rsidR="00402517" w:rsidRPr="001431F1" w:rsidRDefault="00402517" w:rsidP="00402517">
            <w:pPr>
              <w:numPr>
                <w:ilvl w:val="0"/>
                <w:numId w:val="3"/>
              </w:numPr>
              <w:suppressAutoHyphens w:val="0"/>
              <w:spacing w:after="0" w:line="360" w:lineRule="auto"/>
              <w:jc w:val="both"/>
              <w:rPr>
                <w:rFonts w:eastAsia="Calibri" w:cs="Times New Roman"/>
                <w:szCs w:val="24"/>
                <w:lang w:val="en-GB"/>
              </w:rPr>
            </w:pPr>
            <w:proofErr w:type="spellStart"/>
            <w:r w:rsidRPr="001431F1">
              <w:rPr>
                <w:rFonts w:eastAsia="Calibri" w:cs="Times New Roman"/>
                <w:szCs w:val="24"/>
                <w:lang w:val="en-GB"/>
              </w:rPr>
              <w:t>Tsvetkov</w:t>
            </w:r>
            <w:proofErr w:type="spellEnd"/>
            <w:r w:rsidRPr="001431F1">
              <w:rPr>
                <w:rFonts w:eastAsia="Calibri" w:cs="Times New Roman"/>
                <w:szCs w:val="24"/>
                <w:lang w:val="en-GB"/>
              </w:rPr>
              <w:t xml:space="preserve">, V. et al., Effect of plasma activated medium and water on replication and extracellular </w:t>
            </w:r>
            <w:proofErr w:type="spellStart"/>
            <w:r w:rsidRPr="001431F1">
              <w:rPr>
                <w:rFonts w:eastAsia="Calibri" w:cs="Times New Roman"/>
                <w:szCs w:val="24"/>
                <w:lang w:val="en-GB"/>
              </w:rPr>
              <w:t>virions</w:t>
            </w:r>
            <w:proofErr w:type="spellEnd"/>
            <w:r w:rsidRPr="001431F1">
              <w:rPr>
                <w:rFonts w:eastAsia="Calibri" w:cs="Times New Roman"/>
                <w:szCs w:val="24"/>
                <w:lang w:val="en-GB"/>
              </w:rPr>
              <w:t xml:space="preserve"> of HSV-1, 2020, Plasma medicine, in press, 10.1615/PlasmaMed.2020033626.</w:t>
            </w:r>
          </w:p>
          <w:p w:rsidR="00402517" w:rsidRPr="001431F1" w:rsidRDefault="00402517" w:rsidP="00402517">
            <w:pPr>
              <w:numPr>
                <w:ilvl w:val="0"/>
                <w:numId w:val="3"/>
              </w:numPr>
              <w:suppressAutoHyphens w:val="0"/>
              <w:spacing w:after="0" w:line="360" w:lineRule="auto"/>
              <w:jc w:val="both"/>
              <w:rPr>
                <w:rFonts w:eastAsia="Calibri" w:cs="Times New Roman"/>
                <w:szCs w:val="24"/>
                <w:lang w:val="en-GB"/>
              </w:rPr>
            </w:pPr>
            <w:proofErr w:type="spellStart"/>
            <w:r w:rsidRPr="001431F1">
              <w:rPr>
                <w:rFonts w:eastAsia="Calibri" w:cs="Times New Roman"/>
                <w:szCs w:val="24"/>
                <w:lang w:val="en-GB"/>
              </w:rPr>
              <w:t>Chayrov</w:t>
            </w:r>
            <w:proofErr w:type="spellEnd"/>
            <w:r w:rsidRPr="001431F1">
              <w:rPr>
                <w:rFonts w:eastAsia="Calibri" w:cs="Times New Roman"/>
                <w:szCs w:val="24"/>
                <w:lang w:val="en-GB"/>
              </w:rPr>
              <w:t xml:space="preserve"> R., E. </w:t>
            </w:r>
            <w:proofErr w:type="spellStart"/>
            <w:r w:rsidRPr="001431F1">
              <w:rPr>
                <w:rFonts w:eastAsia="Calibri" w:cs="Times New Roman"/>
                <w:szCs w:val="24"/>
                <w:lang w:val="en-GB"/>
              </w:rPr>
              <w:t>Stylos</w:t>
            </w:r>
            <w:proofErr w:type="spellEnd"/>
            <w:r w:rsidRPr="001431F1">
              <w:rPr>
                <w:rFonts w:eastAsia="Calibri" w:cs="Times New Roman"/>
                <w:szCs w:val="24"/>
                <w:lang w:val="en-GB"/>
              </w:rPr>
              <w:t xml:space="preserve">, M. </w:t>
            </w:r>
            <w:proofErr w:type="spellStart"/>
            <w:r w:rsidRPr="001431F1">
              <w:rPr>
                <w:rFonts w:eastAsia="Calibri" w:cs="Times New Roman"/>
                <w:szCs w:val="24"/>
                <w:lang w:val="en-GB"/>
              </w:rPr>
              <w:t>Chatziathanasiadou</w:t>
            </w:r>
            <w:proofErr w:type="spellEnd"/>
            <w:r w:rsidRPr="001431F1">
              <w:rPr>
                <w:rFonts w:eastAsia="Calibri" w:cs="Times New Roman"/>
                <w:szCs w:val="24"/>
                <w:lang w:val="en-GB"/>
              </w:rPr>
              <w:t xml:space="preserve">, K. </w:t>
            </w:r>
            <w:proofErr w:type="spellStart"/>
            <w:r w:rsidRPr="001431F1">
              <w:rPr>
                <w:rFonts w:eastAsia="Calibri" w:cs="Times New Roman"/>
                <w:szCs w:val="24"/>
                <w:lang w:val="en-GB"/>
              </w:rPr>
              <w:t>Chuchkov</w:t>
            </w:r>
            <w:proofErr w:type="spellEnd"/>
            <w:r w:rsidRPr="001431F1">
              <w:rPr>
                <w:rFonts w:eastAsia="Calibri" w:cs="Times New Roman"/>
                <w:szCs w:val="24"/>
                <w:lang w:val="en-GB"/>
              </w:rPr>
              <w:t xml:space="preserve">, A. </w:t>
            </w:r>
            <w:proofErr w:type="spellStart"/>
            <w:r w:rsidRPr="001431F1">
              <w:rPr>
                <w:rFonts w:eastAsia="Calibri" w:cs="Times New Roman"/>
                <w:szCs w:val="24"/>
                <w:lang w:val="en-GB"/>
              </w:rPr>
              <w:t>Tencheva</w:t>
            </w:r>
            <w:proofErr w:type="spellEnd"/>
            <w:r w:rsidRPr="001431F1">
              <w:rPr>
                <w:rFonts w:eastAsia="Calibri" w:cs="Times New Roman"/>
                <w:szCs w:val="24"/>
                <w:lang w:val="en-GB"/>
              </w:rPr>
              <w:t xml:space="preserve">, A. </w:t>
            </w:r>
            <w:proofErr w:type="spellStart"/>
            <w:r w:rsidRPr="001431F1">
              <w:rPr>
                <w:rFonts w:eastAsia="Calibri" w:cs="Times New Roman"/>
                <w:szCs w:val="24"/>
                <w:lang w:val="en-GB"/>
              </w:rPr>
              <w:t>Kostagianni</w:t>
            </w:r>
            <w:proofErr w:type="spellEnd"/>
            <w:r w:rsidRPr="001431F1">
              <w:rPr>
                <w:rFonts w:eastAsia="Calibri" w:cs="Times New Roman"/>
                <w:szCs w:val="24"/>
                <w:lang w:val="en-GB"/>
              </w:rPr>
              <w:t xml:space="preserve">, T. </w:t>
            </w:r>
            <w:proofErr w:type="spellStart"/>
            <w:r w:rsidRPr="001431F1">
              <w:rPr>
                <w:rFonts w:eastAsia="Calibri" w:cs="Times New Roman"/>
                <w:szCs w:val="24"/>
                <w:lang w:val="en-GB"/>
              </w:rPr>
              <w:t>Milkova</w:t>
            </w:r>
            <w:proofErr w:type="spellEnd"/>
            <w:r w:rsidRPr="001431F1">
              <w:rPr>
                <w:rFonts w:eastAsia="Calibri" w:cs="Times New Roman"/>
                <w:szCs w:val="24"/>
                <w:lang w:val="en-GB"/>
              </w:rPr>
              <w:t xml:space="preserve">, A. Angelova, A. </w:t>
            </w:r>
            <w:proofErr w:type="spellStart"/>
            <w:r w:rsidRPr="001431F1">
              <w:rPr>
                <w:rFonts w:eastAsia="Calibri" w:cs="Times New Roman"/>
                <w:szCs w:val="24"/>
                <w:lang w:val="en-GB"/>
              </w:rPr>
              <w:t>Galabov</w:t>
            </w:r>
            <w:proofErr w:type="spellEnd"/>
            <w:r w:rsidRPr="001431F1">
              <w:rPr>
                <w:rFonts w:eastAsia="Calibri" w:cs="Times New Roman"/>
                <w:szCs w:val="24"/>
                <w:lang w:val="en-GB"/>
              </w:rPr>
              <w:t xml:space="preserve">, S. </w:t>
            </w:r>
            <w:proofErr w:type="spellStart"/>
            <w:r w:rsidRPr="001431F1">
              <w:rPr>
                <w:rFonts w:eastAsia="Calibri" w:cs="Times New Roman"/>
                <w:szCs w:val="24"/>
                <w:lang w:val="en-GB"/>
              </w:rPr>
              <w:t>Shishkov</w:t>
            </w:r>
            <w:proofErr w:type="spellEnd"/>
            <w:r w:rsidRPr="001431F1">
              <w:rPr>
                <w:rFonts w:eastAsia="Calibri" w:cs="Times New Roman"/>
                <w:szCs w:val="24"/>
                <w:lang w:val="en-GB"/>
              </w:rPr>
              <w:t xml:space="preserve">, D. </w:t>
            </w:r>
            <w:proofErr w:type="spellStart"/>
            <w:r w:rsidRPr="001431F1">
              <w:rPr>
                <w:rFonts w:eastAsia="Calibri" w:cs="Times New Roman"/>
                <w:szCs w:val="24"/>
                <w:lang w:val="en-GB"/>
              </w:rPr>
              <w:t>Todorov</w:t>
            </w:r>
            <w:proofErr w:type="spellEnd"/>
            <w:r w:rsidRPr="001431F1">
              <w:rPr>
                <w:rFonts w:eastAsia="Calibri" w:cs="Times New Roman"/>
                <w:szCs w:val="24"/>
                <w:lang w:val="en-GB"/>
              </w:rPr>
              <w:t xml:space="preserve">, A. </w:t>
            </w:r>
            <w:proofErr w:type="spellStart"/>
            <w:r w:rsidRPr="001431F1">
              <w:rPr>
                <w:rFonts w:eastAsia="Calibri" w:cs="Times New Roman"/>
                <w:szCs w:val="24"/>
                <w:lang w:val="en-GB"/>
              </w:rPr>
              <w:t>Tzakos</w:t>
            </w:r>
            <w:proofErr w:type="spellEnd"/>
            <w:r w:rsidRPr="001431F1">
              <w:rPr>
                <w:rFonts w:eastAsia="Calibri" w:cs="Times New Roman"/>
                <w:szCs w:val="24"/>
                <w:lang w:val="en-GB"/>
              </w:rPr>
              <w:t xml:space="preserve">, I. </w:t>
            </w:r>
            <w:proofErr w:type="spellStart"/>
            <w:r w:rsidRPr="001431F1">
              <w:rPr>
                <w:rFonts w:eastAsia="Calibri" w:cs="Times New Roman"/>
                <w:szCs w:val="24"/>
                <w:lang w:val="en-GB"/>
              </w:rPr>
              <w:t>Stankova</w:t>
            </w:r>
            <w:proofErr w:type="spellEnd"/>
            <w:r w:rsidRPr="001431F1">
              <w:rPr>
                <w:rFonts w:eastAsia="Calibri" w:cs="Times New Roman"/>
                <w:szCs w:val="24"/>
                <w:lang w:val="en-GB"/>
              </w:rPr>
              <w:t>. 2018. Tailoring acyclovir prodrugs with enhanced antiviral activity: rational design, synthesis, human plasma stability and in vitro evaluation. Amino Acids. DOI: 10.1007/s00726-018-2590-y.</w:t>
            </w:r>
          </w:p>
          <w:p w:rsidR="00402517" w:rsidRPr="001431F1" w:rsidRDefault="00402517" w:rsidP="00402517">
            <w:pPr>
              <w:numPr>
                <w:ilvl w:val="0"/>
                <w:numId w:val="3"/>
              </w:numPr>
              <w:suppressAutoHyphens w:val="0"/>
              <w:spacing w:after="0" w:line="360" w:lineRule="auto"/>
              <w:jc w:val="both"/>
              <w:rPr>
                <w:rFonts w:eastAsia="Calibri" w:cs="Times New Roman"/>
                <w:szCs w:val="24"/>
                <w:lang w:val="en-GB"/>
              </w:rPr>
            </w:pPr>
            <w:proofErr w:type="spellStart"/>
            <w:r w:rsidRPr="001431F1">
              <w:rPr>
                <w:rFonts w:eastAsia="Calibri" w:cs="Times New Roman"/>
                <w:szCs w:val="24"/>
                <w:lang w:val="en-GB"/>
              </w:rPr>
              <w:t>Shishkova</w:t>
            </w:r>
            <w:proofErr w:type="spellEnd"/>
            <w:r w:rsidRPr="001431F1">
              <w:rPr>
                <w:rFonts w:eastAsia="Calibri" w:cs="Times New Roman"/>
                <w:szCs w:val="24"/>
                <w:lang w:val="en-GB"/>
              </w:rPr>
              <w:t xml:space="preserve"> K., I. </w:t>
            </w:r>
            <w:proofErr w:type="spellStart"/>
            <w:r w:rsidRPr="001431F1">
              <w:rPr>
                <w:rFonts w:eastAsia="Calibri" w:cs="Times New Roman"/>
                <w:szCs w:val="24"/>
                <w:lang w:val="en-GB"/>
              </w:rPr>
              <w:t>Tsekov</w:t>
            </w:r>
            <w:proofErr w:type="spellEnd"/>
            <w:r w:rsidRPr="001431F1">
              <w:rPr>
                <w:rFonts w:eastAsia="Calibri" w:cs="Times New Roman"/>
                <w:szCs w:val="24"/>
                <w:lang w:val="en-GB"/>
              </w:rPr>
              <w:t xml:space="preserve">, R. Popov, S. </w:t>
            </w:r>
            <w:proofErr w:type="spellStart"/>
            <w:r w:rsidRPr="001431F1">
              <w:rPr>
                <w:rFonts w:eastAsia="Calibri" w:cs="Times New Roman"/>
                <w:szCs w:val="24"/>
                <w:lang w:val="en-GB"/>
              </w:rPr>
              <w:t>Shishkov</w:t>
            </w:r>
            <w:proofErr w:type="spellEnd"/>
            <w:r w:rsidRPr="001431F1">
              <w:rPr>
                <w:rFonts w:eastAsia="Calibri" w:cs="Times New Roman"/>
                <w:szCs w:val="24"/>
                <w:lang w:val="en-GB"/>
              </w:rPr>
              <w:t xml:space="preserve">, Z. </w:t>
            </w:r>
            <w:proofErr w:type="spellStart"/>
            <w:r w:rsidRPr="001431F1">
              <w:rPr>
                <w:rFonts w:eastAsia="Calibri" w:cs="Times New Roman"/>
                <w:szCs w:val="24"/>
                <w:lang w:val="en-GB"/>
              </w:rPr>
              <w:t>Kalvatchev</w:t>
            </w:r>
            <w:proofErr w:type="spellEnd"/>
            <w:r w:rsidRPr="001431F1">
              <w:rPr>
                <w:rFonts w:eastAsia="Calibri" w:cs="Times New Roman"/>
                <w:szCs w:val="24"/>
                <w:lang w:val="en-GB"/>
              </w:rPr>
              <w:t xml:space="preserve">. 2014. PCR </w:t>
            </w:r>
            <w:r w:rsidRPr="001431F1">
              <w:rPr>
                <w:rFonts w:eastAsia="Calibri" w:cs="Times New Roman"/>
                <w:szCs w:val="24"/>
                <w:lang w:val="en-GB"/>
              </w:rPr>
              <w:lastRenderedPageBreak/>
              <w:t xml:space="preserve">Systems for Detection of Novel Elusive Human Pathogens Torque </w:t>
            </w:r>
            <w:proofErr w:type="spellStart"/>
            <w:r w:rsidRPr="001431F1">
              <w:rPr>
                <w:rFonts w:eastAsia="Calibri" w:cs="Times New Roman"/>
                <w:szCs w:val="24"/>
                <w:lang w:val="en-GB"/>
              </w:rPr>
              <w:t>Teno</w:t>
            </w:r>
            <w:proofErr w:type="spellEnd"/>
            <w:r w:rsidRPr="001431F1">
              <w:rPr>
                <w:rFonts w:eastAsia="Calibri" w:cs="Times New Roman"/>
                <w:szCs w:val="24"/>
                <w:lang w:val="en-GB"/>
              </w:rPr>
              <w:t xml:space="preserve"> Viruses (TTVs) in Bulgaria. Compt. Rend. </w:t>
            </w:r>
            <w:proofErr w:type="spellStart"/>
            <w:r w:rsidRPr="001431F1">
              <w:rPr>
                <w:rFonts w:eastAsia="Calibri" w:cs="Times New Roman"/>
                <w:szCs w:val="24"/>
                <w:lang w:val="en-GB"/>
              </w:rPr>
              <w:t>l’Acad</w:t>
            </w:r>
            <w:proofErr w:type="spellEnd"/>
            <w:r w:rsidRPr="001431F1">
              <w:rPr>
                <w:rFonts w:eastAsia="Calibri" w:cs="Times New Roman"/>
                <w:szCs w:val="24"/>
                <w:lang w:val="en-GB"/>
              </w:rPr>
              <w:t>. Bulg. Sci., 67 (8):1175-1186.</w:t>
            </w:r>
          </w:p>
          <w:p w:rsidR="00402517" w:rsidRPr="001431F1" w:rsidRDefault="00402517" w:rsidP="00402517">
            <w:pPr>
              <w:numPr>
                <w:ilvl w:val="0"/>
                <w:numId w:val="3"/>
              </w:numPr>
              <w:suppressAutoHyphens w:val="0"/>
              <w:spacing w:after="0" w:line="360" w:lineRule="auto"/>
              <w:jc w:val="both"/>
              <w:rPr>
                <w:rFonts w:eastAsia="Calibri" w:cs="Times New Roman"/>
                <w:szCs w:val="24"/>
                <w:lang w:val="en-GB"/>
              </w:rPr>
            </w:pPr>
            <w:proofErr w:type="spellStart"/>
            <w:r w:rsidRPr="001431F1">
              <w:rPr>
                <w:rFonts w:eastAsia="Calibri" w:cs="Times New Roman"/>
                <w:szCs w:val="24"/>
                <w:lang w:val="en-GB"/>
              </w:rPr>
              <w:t>Zahmanov</w:t>
            </w:r>
            <w:proofErr w:type="spellEnd"/>
            <w:r w:rsidRPr="001431F1">
              <w:rPr>
                <w:rFonts w:eastAsia="Calibri" w:cs="Times New Roman"/>
                <w:szCs w:val="24"/>
                <w:lang w:val="en-GB"/>
              </w:rPr>
              <w:t xml:space="preserve">, G., K. </w:t>
            </w:r>
            <w:proofErr w:type="spellStart"/>
            <w:r w:rsidRPr="001431F1">
              <w:rPr>
                <w:rFonts w:eastAsia="Calibri" w:cs="Times New Roman"/>
                <w:szCs w:val="24"/>
                <w:lang w:val="en-GB"/>
              </w:rPr>
              <w:t>Alipieva</w:t>
            </w:r>
            <w:proofErr w:type="spellEnd"/>
            <w:r w:rsidRPr="001431F1">
              <w:rPr>
                <w:rFonts w:eastAsia="Calibri" w:cs="Times New Roman"/>
                <w:szCs w:val="24"/>
                <w:lang w:val="en-GB"/>
              </w:rPr>
              <w:t xml:space="preserve">, P. </w:t>
            </w:r>
            <w:proofErr w:type="spellStart"/>
            <w:r w:rsidRPr="001431F1">
              <w:rPr>
                <w:rFonts w:eastAsia="Calibri" w:cs="Times New Roman"/>
                <w:szCs w:val="24"/>
                <w:lang w:val="en-GB"/>
              </w:rPr>
              <w:t>Denev</w:t>
            </w:r>
            <w:proofErr w:type="spellEnd"/>
            <w:r w:rsidRPr="001431F1">
              <w:rPr>
                <w:rFonts w:eastAsia="Calibri" w:cs="Times New Roman"/>
                <w:szCs w:val="24"/>
                <w:lang w:val="en-GB"/>
              </w:rPr>
              <w:t xml:space="preserve">, D. </w:t>
            </w:r>
            <w:proofErr w:type="spellStart"/>
            <w:r w:rsidRPr="001431F1">
              <w:rPr>
                <w:rFonts w:eastAsia="Calibri" w:cs="Times New Roman"/>
                <w:szCs w:val="24"/>
                <w:lang w:val="en-GB"/>
              </w:rPr>
              <w:t>Todorov</w:t>
            </w:r>
            <w:proofErr w:type="spellEnd"/>
            <w:r w:rsidRPr="001431F1">
              <w:rPr>
                <w:rFonts w:eastAsia="Calibri" w:cs="Times New Roman"/>
                <w:szCs w:val="24"/>
                <w:lang w:val="en-GB"/>
              </w:rPr>
              <w:t xml:space="preserve">, A. </w:t>
            </w:r>
            <w:proofErr w:type="spellStart"/>
            <w:r w:rsidRPr="001431F1">
              <w:rPr>
                <w:rFonts w:eastAsia="Calibri" w:cs="Times New Roman"/>
                <w:szCs w:val="24"/>
                <w:lang w:val="en-GB"/>
              </w:rPr>
              <w:t>Hinkov</w:t>
            </w:r>
            <w:proofErr w:type="spellEnd"/>
            <w:r w:rsidRPr="001431F1">
              <w:rPr>
                <w:rFonts w:eastAsia="Calibri" w:cs="Times New Roman"/>
                <w:szCs w:val="24"/>
                <w:lang w:val="en-GB"/>
              </w:rPr>
              <w:t xml:space="preserve">, S. </w:t>
            </w:r>
            <w:proofErr w:type="spellStart"/>
            <w:r w:rsidRPr="001431F1">
              <w:rPr>
                <w:rFonts w:eastAsia="Calibri" w:cs="Times New Roman"/>
                <w:szCs w:val="24"/>
                <w:lang w:val="en-GB"/>
              </w:rPr>
              <w:t>Shishkov</w:t>
            </w:r>
            <w:proofErr w:type="spellEnd"/>
            <w:r w:rsidRPr="001431F1">
              <w:rPr>
                <w:rFonts w:eastAsia="Calibri" w:cs="Times New Roman"/>
                <w:szCs w:val="24"/>
                <w:lang w:val="en-GB"/>
              </w:rPr>
              <w:t xml:space="preserve">, S. </w:t>
            </w:r>
            <w:proofErr w:type="spellStart"/>
            <w:r w:rsidRPr="001431F1">
              <w:rPr>
                <w:rFonts w:eastAsia="Calibri" w:cs="Times New Roman"/>
                <w:szCs w:val="24"/>
                <w:lang w:val="en-GB"/>
              </w:rPr>
              <w:t>Simova</w:t>
            </w:r>
            <w:proofErr w:type="spellEnd"/>
            <w:r w:rsidRPr="001431F1">
              <w:rPr>
                <w:rFonts w:eastAsia="Calibri" w:cs="Times New Roman"/>
                <w:szCs w:val="24"/>
                <w:lang w:val="en-GB"/>
              </w:rPr>
              <w:t xml:space="preserve">, M.I. </w:t>
            </w:r>
            <w:proofErr w:type="spellStart"/>
            <w:r w:rsidRPr="001431F1">
              <w:rPr>
                <w:rFonts w:eastAsia="Calibri" w:cs="Times New Roman"/>
                <w:szCs w:val="24"/>
                <w:lang w:val="en-GB"/>
              </w:rPr>
              <w:t>Georgiev</w:t>
            </w:r>
            <w:proofErr w:type="spellEnd"/>
            <w:r w:rsidRPr="001431F1">
              <w:rPr>
                <w:rFonts w:eastAsia="Calibri" w:cs="Times New Roman"/>
                <w:szCs w:val="24"/>
                <w:lang w:val="en-GB"/>
              </w:rPr>
              <w:t>. 2015. Flavonoid glycosides profiling in dwarf elder fruits (</w:t>
            </w:r>
            <w:proofErr w:type="spellStart"/>
            <w:r w:rsidRPr="001431F1">
              <w:rPr>
                <w:rFonts w:eastAsia="Calibri" w:cs="Times New Roman"/>
                <w:szCs w:val="24"/>
                <w:lang w:val="en-GB"/>
              </w:rPr>
              <w:t>Sambucus</w:t>
            </w:r>
            <w:proofErr w:type="spellEnd"/>
            <w:r w:rsidRPr="001431F1">
              <w:rPr>
                <w:rFonts w:eastAsia="Calibri" w:cs="Times New Roman"/>
                <w:szCs w:val="24"/>
                <w:lang w:val="en-GB"/>
              </w:rPr>
              <w:t xml:space="preserve"> </w:t>
            </w:r>
            <w:proofErr w:type="spellStart"/>
            <w:r w:rsidRPr="001431F1">
              <w:rPr>
                <w:rFonts w:eastAsia="Calibri" w:cs="Times New Roman"/>
                <w:szCs w:val="24"/>
                <w:lang w:val="en-GB"/>
              </w:rPr>
              <w:t>ebulus</w:t>
            </w:r>
            <w:proofErr w:type="spellEnd"/>
            <w:r w:rsidRPr="001431F1">
              <w:rPr>
                <w:rFonts w:eastAsia="Calibri" w:cs="Times New Roman"/>
                <w:szCs w:val="24"/>
                <w:lang w:val="en-GB"/>
              </w:rPr>
              <w:t xml:space="preserve"> L.) and evaluation of their antioxidant and anti-herpes simplex activities. Industrial Crops and Products, 63: 58–64.</w:t>
            </w:r>
          </w:p>
          <w:p w:rsidR="00402517" w:rsidRPr="001431F1" w:rsidRDefault="00402517" w:rsidP="00402517">
            <w:pPr>
              <w:numPr>
                <w:ilvl w:val="0"/>
                <w:numId w:val="3"/>
              </w:numPr>
              <w:suppressAutoHyphens w:val="0"/>
              <w:spacing w:line="360" w:lineRule="auto"/>
              <w:jc w:val="both"/>
              <w:rPr>
                <w:rFonts w:eastAsia="Calibri" w:cs="Times New Roman"/>
                <w:szCs w:val="24"/>
                <w:lang w:val="en-GB"/>
              </w:rPr>
            </w:pPr>
            <w:r w:rsidRPr="001431F1">
              <w:rPr>
                <w:rFonts w:eastAsia="Calibri" w:cs="Times New Roman"/>
                <w:szCs w:val="24"/>
              </w:rPr>
              <w:t xml:space="preserve">E. </w:t>
            </w:r>
            <w:proofErr w:type="spellStart"/>
            <w:r w:rsidRPr="001431F1">
              <w:rPr>
                <w:rFonts w:eastAsia="Calibri" w:cs="Times New Roman"/>
                <w:szCs w:val="24"/>
              </w:rPr>
              <w:t>Haladjova</w:t>
            </w:r>
            <w:proofErr w:type="spellEnd"/>
            <w:r w:rsidRPr="001431F1">
              <w:rPr>
                <w:rFonts w:eastAsia="Calibri" w:cs="Times New Roman"/>
                <w:szCs w:val="24"/>
              </w:rPr>
              <w:t xml:space="preserve">, S. </w:t>
            </w:r>
            <w:proofErr w:type="spellStart"/>
            <w:r w:rsidRPr="001431F1">
              <w:rPr>
                <w:rFonts w:eastAsia="Calibri" w:cs="Times New Roman"/>
                <w:szCs w:val="24"/>
              </w:rPr>
              <w:t>Halacheva</w:t>
            </w:r>
            <w:proofErr w:type="spellEnd"/>
            <w:r w:rsidRPr="001431F1">
              <w:rPr>
                <w:rFonts w:eastAsia="Calibri" w:cs="Times New Roman"/>
                <w:szCs w:val="24"/>
              </w:rPr>
              <w:t xml:space="preserve">, D. </w:t>
            </w:r>
            <w:proofErr w:type="spellStart"/>
            <w:r w:rsidRPr="001431F1">
              <w:rPr>
                <w:rFonts w:eastAsia="Calibri" w:cs="Times New Roman"/>
                <w:szCs w:val="24"/>
              </w:rPr>
              <w:t>Momekova</w:t>
            </w:r>
            <w:proofErr w:type="spellEnd"/>
            <w:r w:rsidRPr="001431F1">
              <w:rPr>
                <w:rFonts w:eastAsia="Calibri" w:cs="Times New Roman"/>
                <w:szCs w:val="24"/>
              </w:rPr>
              <w:t xml:space="preserve">, V. </w:t>
            </w:r>
            <w:proofErr w:type="spellStart"/>
            <w:r w:rsidRPr="001431F1">
              <w:rPr>
                <w:rFonts w:eastAsia="Calibri" w:cs="Times New Roman"/>
                <w:szCs w:val="24"/>
              </w:rPr>
              <w:t>Moskova-Doumanova</w:t>
            </w:r>
            <w:proofErr w:type="spellEnd"/>
            <w:r w:rsidRPr="001431F1">
              <w:rPr>
                <w:rFonts w:eastAsia="Calibri" w:cs="Times New Roman"/>
                <w:szCs w:val="24"/>
              </w:rPr>
              <w:t xml:space="preserve">, T. </w:t>
            </w:r>
            <w:proofErr w:type="spellStart"/>
            <w:r w:rsidRPr="001431F1">
              <w:rPr>
                <w:rFonts w:eastAsia="Calibri" w:cs="Times New Roman"/>
                <w:szCs w:val="24"/>
              </w:rPr>
              <w:t>Topouzova</w:t>
            </w:r>
            <w:proofErr w:type="spellEnd"/>
            <w:r w:rsidRPr="001431F1">
              <w:rPr>
                <w:rFonts w:eastAsia="Calibri" w:cs="Times New Roman"/>
                <w:szCs w:val="24"/>
              </w:rPr>
              <w:t xml:space="preserve">-Hristova, K. </w:t>
            </w:r>
            <w:proofErr w:type="spellStart"/>
            <w:r w:rsidRPr="001431F1">
              <w:rPr>
                <w:rFonts w:eastAsia="Calibri" w:cs="Times New Roman"/>
                <w:szCs w:val="24"/>
              </w:rPr>
              <w:t>Mladenova</w:t>
            </w:r>
            <w:proofErr w:type="spellEnd"/>
            <w:r w:rsidRPr="001431F1">
              <w:rPr>
                <w:rFonts w:eastAsia="Calibri" w:cs="Times New Roman"/>
                <w:szCs w:val="24"/>
              </w:rPr>
              <w:t xml:space="preserve">, J. </w:t>
            </w:r>
            <w:proofErr w:type="spellStart"/>
            <w:r w:rsidRPr="001431F1">
              <w:rPr>
                <w:rFonts w:eastAsia="Calibri" w:cs="Times New Roman"/>
                <w:szCs w:val="24"/>
              </w:rPr>
              <w:t>Doumanov</w:t>
            </w:r>
            <w:proofErr w:type="spellEnd"/>
            <w:r w:rsidRPr="001431F1">
              <w:rPr>
                <w:rFonts w:eastAsia="Calibri" w:cs="Times New Roman"/>
                <w:szCs w:val="24"/>
              </w:rPr>
              <w:t xml:space="preserve">, M. </w:t>
            </w:r>
            <w:proofErr w:type="spellStart"/>
            <w:r w:rsidRPr="001431F1">
              <w:rPr>
                <w:rFonts w:eastAsia="Calibri" w:cs="Times New Roman"/>
                <w:szCs w:val="24"/>
              </w:rPr>
              <w:t>Petrova</w:t>
            </w:r>
            <w:proofErr w:type="spellEnd"/>
            <w:r w:rsidRPr="001431F1">
              <w:rPr>
                <w:rFonts w:eastAsia="Calibri" w:cs="Times New Roman"/>
                <w:szCs w:val="24"/>
              </w:rPr>
              <w:t xml:space="preserve">, S. </w:t>
            </w:r>
            <w:proofErr w:type="spellStart"/>
            <w:r w:rsidRPr="001431F1">
              <w:rPr>
                <w:rFonts w:eastAsia="Calibri" w:cs="Times New Roman"/>
                <w:szCs w:val="24"/>
              </w:rPr>
              <w:t>Rangelov</w:t>
            </w:r>
            <w:proofErr w:type="spellEnd"/>
            <w:r w:rsidRPr="001431F1">
              <w:rPr>
                <w:rFonts w:eastAsia="Calibri" w:cs="Times New Roman"/>
                <w:szCs w:val="24"/>
              </w:rPr>
              <w:t xml:space="preserve">. </w:t>
            </w:r>
            <w:proofErr w:type="spellStart"/>
            <w:r w:rsidRPr="001431F1">
              <w:rPr>
                <w:rFonts w:eastAsia="Calibri" w:cs="Times New Roman"/>
                <w:szCs w:val="24"/>
              </w:rPr>
              <w:t>Polyplex</w:t>
            </w:r>
            <w:proofErr w:type="spellEnd"/>
            <w:r w:rsidRPr="001431F1">
              <w:rPr>
                <w:rFonts w:eastAsia="Calibri" w:cs="Times New Roman"/>
                <w:szCs w:val="24"/>
              </w:rPr>
              <w:t xml:space="preserve"> Particles Based on Comb-Like </w:t>
            </w:r>
            <w:proofErr w:type="spellStart"/>
            <w:r w:rsidRPr="001431F1">
              <w:rPr>
                <w:rFonts w:eastAsia="Calibri" w:cs="Times New Roman"/>
                <w:szCs w:val="24"/>
              </w:rPr>
              <w:t>Polyethylenimine</w:t>
            </w:r>
            <w:proofErr w:type="spellEnd"/>
            <w:r w:rsidRPr="001431F1">
              <w:rPr>
                <w:rFonts w:eastAsia="Calibri" w:cs="Times New Roman"/>
                <w:szCs w:val="24"/>
              </w:rPr>
              <w:t>/</w:t>
            </w:r>
            <w:proofErr w:type="gramStart"/>
            <w:r w:rsidRPr="001431F1">
              <w:rPr>
                <w:rFonts w:eastAsia="Calibri" w:cs="Times New Roman"/>
                <w:szCs w:val="24"/>
              </w:rPr>
              <w:t>Poly(</w:t>
            </w:r>
            <w:proofErr w:type="gramEnd"/>
            <w:r w:rsidRPr="001431F1">
              <w:rPr>
                <w:rFonts w:eastAsia="Calibri" w:cs="Times New Roman"/>
                <w:szCs w:val="24"/>
              </w:rPr>
              <w:t xml:space="preserve">2-ethyl-2-oxazoline) Copolymers: Relating Biological Performance with Morphology and Structure. </w:t>
            </w:r>
            <w:proofErr w:type="spellStart"/>
            <w:r w:rsidRPr="001431F1">
              <w:rPr>
                <w:rFonts w:eastAsia="Calibri" w:cs="Times New Roman"/>
                <w:szCs w:val="24"/>
              </w:rPr>
              <w:t>Macromol</w:t>
            </w:r>
            <w:proofErr w:type="spellEnd"/>
            <w:r w:rsidRPr="001431F1">
              <w:rPr>
                <w:rFonts w:eastAsia="Calibri" w:cs="Times New Roman"/>
                <w:szCs w:val="24"/>
              </w:rPr>
              <w:t xml:space="preserve">. </w:t>
            </w:r>
            <w:proofErr w:type="spellStart"/>
            <w:r w:rsidRPr="001431F1">
              <w:rPr>
                <w:rFonts w:eastAsia="Calibri" w:cs="Times New Roman"/>
                <w:szCs w:val="24"/>
              </w:rPr>
              <w:t>Biosci</w:t>
            </w:r>
            <w:proofErr w:type="spellEnd"/>
            <w:r w:rsidRPr="001431F1">
              <w:rPr>
                <w:rFonts w:eastAsia="Calibri" w:cs="Times New Roman"/>
                <w:szCs w:val="24"/>
              </w:rPr>
              <w:t xml:space="preserve">. </w:t>
            </w:r>
            <w:proofErr w:type="gramStart"/>
            <w:r w:rsidRPr="001431F1">
              <w:rPr>
                <w:rFonts w:eastAsia="Calibri" w:cs="Times New Roman"/>
                <w:szCs w:val="24"/>
              </w:rPr>
              <w:t>2018</w:t>
            </w:r>
            <w:proofErr w:type="gramEnd"/>
            <w:r w:rsidRPr="001431F1">
              <w:rPr>
                <w:rFonts w:eastAsia="Calibri" w:cs="Times New Roman"/>
                <w:szCs w:val="24"/>
              </w:rPr>
              <w:t xml:space="preserve">, 1700349. https://doi.org/10.1002/mabi.201700349 </w:t>
            </w:r>
          </w:p>
          <w:p w:rsidR="00402517" w:rsidRPr="001431F1" w:rsidRDefault="00402517" w:rsidP="00402517">
            <w:pPr>
              <w:numPr>
                <w:ilvl w:val="0"/>
                <w:numId w:val="3"/>
              </w:numPr>
              <w:suppressAutoHyphens w:val="0"/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proofErr w:type="spellStart"/>
            <w:r w:rsidRPr="001431F1">
              <w:rPr>
                <w:rFonts w:eastAsia="Calibri" w:cs="Times New Roman"/>
                <w:szCs w:val="24"/>
              </w:rPr>
              <w:t>Radostina</w:t>
            </w:r>
            <w:proofErr w:type="spellEnd"/>
            <w:r w:rsidRPr="001431F1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1431F1">
              <w:rPr>
                <w:rFonts w:eastAsia="Calibri" w:cs="Times New Roman"/>
                <w:szCs w:val="24"/>
              </w:rPr>
              <w:t>Kalinova</w:t>
            </w:r>
            <w:proofErr w:type="spellEnd"/>
            <w:r w:rsidRPr="001431F1">
              <w:rPr>
                <w:rFonts w:eastAsia="Calibri" w:cs="Times New Roman"/>
                <w:szCs w:val="24"/>
              </w:rPr>
              <w:t xml:space="preserve">, Jordan A. </w:t>
            </w:r>
            <w:proofErr w:type="spellStart"/>
            <w:r w:rsidRPr="001431F1">
              <w:rPr>
                <w:rFonts w:eastAsia="Calibri" w:cs="Times New Roman"/>
                <w:szCs w:val="24"/>
              </w:rPr>
              <w:t>Doumanov</w:t>
            </w:r>
            <w:proofErr w:type="spellEnd"/>
            <w:r w:rsidRPr="001431F1"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r w:rsidRPr="001431F1">
              <w:rPr>
                <w:rFonts w:eastAsia="Calibri" w:cs="Times New Roman"/>
                <w:szCs w:val="24"/>
              </w:rPr>
              <w:t>Kirilka</w:t>
            </w:r>
            <w:proofErr w:type="spellEnd"/>
            <w:r w:rsidRPr="001431F1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1431F1">
              <w:rPr>
                <w:rFonts w:eastAsia="Calibri" w:cs="Times New Roman"/>
                <w:szCs w:val="24"/>
              </w:rPr>
              <w:t>Mladenova</w:t>
            </w:r>
            <w:proofErr w:type="spellEnd"/>
            <w:r w:rsidRPr="001431F1"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r w:rsidRPr="001431F1">
              <w:rPr>
                <w:rFonts w:eastAsia="Calibri" w:cs="Times New Roman"/>
                <w:szCs w:val="24"/>
              </w:rPr>
              <w:t>Dushica</w:t>
            </w:r>
            <w:proofErr w:type="spellEnd"/>
            <w:r w:rsidRPr="001431F1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1431F1">
              <w:rPr>
                <w:rFonts w:eastAsia="Calibri" w:cs="Times New Roman"/>
                <w:szCs w:val="24"/>
              </w:rPr>
              <w:t>Janevska</w:t>
            </w:r>
            <w:proofErr w:type="spellEnd"/>
            <w:r w:rsidRPr="001431F1">
              <w:rPr>
                <w:rFonts w:eastAsia="Calibri" w:cs="Times New Roman"/>
                <w:szCs w:val="24"/>
              </w:rPr>
              <w:t xml:space="preserve">, Milena Georgieva, George </w:t>
            </w:r>
            <w:proofErr w:type="spellStart"/>
            <w:r w:rsidRPr="001431F1">
              <w:rPr>
                <w:rFonts w:eastAsia="Calibri" w:cs="Times New Roman"/>
                <w:szCs w:val="24"/>
              </w:rPr>
              <w:t>Miloshev</w:t>
            </w:r>
            <w:proofErr w:type="spellEnd"/>
            <w:r w:rsidRPr="001431F1">
              <w:rPr>
                <w:rFonts w:eastAsia="Calibri" w:cs="Times New Roman"/>
                <w:szCs w:val="24"/>
              </w:rPr>
              <w:t xml:space="preserve">, Tanya </w:t>
            </w:r>
            <w:proofErr w:type="spellStart"/>
            <w:r w:rsidRPr="001431F1">
              <w:rPr>
                <w:rFonts w:eastAsia="Calibri" w:cs="Times New Roman"/>
                <w:szCs w:val="24"/>
              </w:rPr>
              <w:t>Topouzova</w:t>
            </w:r>
            <w:proofErr w:type="spellEnd"/>
            <w:r w:rsidRPr="001431F1">
              <w:rPr>
                <w:rFonts w:eastAsia="Calibri" w:cs="Times New Roman"/>
                <w:szCs w:val="24"/>
              </w:rPr>
              <w:t xml:space="preserve">-Hristova, and </w:t>
            </w:r>
            <w:proofErr w:type="spellStart"/>
            <w:r w:rsidRPr="001431F1">
              <w:rPr>
                <w:rFonts w:eastAsia="Calibri" w:cs="Times New Roman"/>
                <w:szCs w:val="24"/>
              </w:rPr>
              <w:t>Ivaylo</w:t>
            </w:r>
            <w:proofErr w:type="spellEnd"/>
            <w:r w:rsidRPr="001431F1">
              <w:rPr>
                <w:rFonts w:eastAsia="Calibri" w:cs="Times New Roman"/>
                <w:szCs w:val="24"/>
              </w:rPr>
              <w:t xml:space="preserve"> Dimitrov. Rational Design of Polypeptide-Based Block Copolymer for </w:t>
            </w:r>
            <w:proofErr w:type="spellStart"/>
            <w:r w:rsidRPr="001431F1">
              <w:rPr>
                <w:rFonts w:eastAsia="Calibri" w:cs="Times New Roman"/>
                <w:szCs w:val="24"/>
              </w:rPr>
              <w:t>Nonviral</w:t>
            </w:r>
            <w:proofErr w:type="spellEnd"/>
            <w:r w:rsidRPr="001431F1">
              <w:rPr>
                <w:rFonts w:eastAsia="Calibri" w:cs="Times New Roman"/>
                <w:szCs w:val="24"/>
              </w:rPr>
              <w:t xml:space="preserve"> Gene Delivery, Chemistry Select 2017, 2, 12006 – 12013; DOI: 10.1002/slct.201702403</w:t>
            </w:r>
          </w:p>
          <w:p w:rsidR="00402517" w:rsidRPr="001431F1" w:rsidRDefault="00402517" w:rsidP="00402517">
            <w:pPr>
              <w:numPr>
                <w:ilvl w:val="0"/>
                <w:numId w:val="3"/>
              </w:numPr>
              <w:suppressAutoHyphens w:val="0"/>
              <w:spacing w:line="360" w:lineRule="auto"/>
              <w:jc w:val="both"/>
              <w:rPr>
                <w:rFonts w:eastAsia="Calibri" w:cs="Times New Roman"/>
                <w:szCs w:val="24"/>
                <w:lang w:val="en-GB"/>
              </w:rPr>
            </w:pPr>
            <w:proofErr w:type="spellStart"/>
            <w:r w:rsidRPr="001431F1">
              <w:rPr>
                <w:rFonts w:eastAsia="Calibri" w:cs="Times New Roman"/>
                <w:szCs w:val="24"/>
              </w:rPr>
              <w:t>Haladjova</w:t>
            </w:r>
            <w:proofErr w:type="spellEnd"/>
            <w:r w:rsidRPr="001431F1">
              <w:rPr>
                <w:rFonts w:eastAsia="Calibri" w:cs="Times New Roman"/>
                <w:szCs w:val="24"/>
              </w:rPr>
              <w:t xml:space="preserve">, E., </w:t>
            </w:r>
            <w:proofErr w:type="spellStart"/>
            <w:r w:rsidRPr="001431F1">
              <w:rPr>
                <w:rFonts w:eastAsia="Calibri" w:cs="Times New Roman"/>
                <w:szCs w:val="24"/>
              </w:rPr>
              <w:t>Kyulavska</w:t>
            </w:r>
            <w:proofErr w:type="spellEnd"/>
            <w:r w:rsidRPr="001431F1">
              <w:rPr>
                <w:rFonts w:eastAsia="Calibri" w:cs="Times New Roman"/>
                <w:szCs w:val="24"/>
              </w:rPr>
              <w:t xml:space="preserve">, M., </w:t>
            </w:r>
            <w:proofErr w:type="spellStart"/>
            <w:r w:rsidRPr="001431F1">
              <w:rPr>
                <w:rFonts w:eastAsia="Calibri" w:cs="Times New Roman"/>
                <w:szCs w:val="24"/>
              </w:rPr>
              <w:t>Doumanov</w:t>
            </w:r>
            <w:proofErr w:type="spellEnd"/>
            <w:r w:rsidRPr="001431F1">
              <w:rPr>
                <w:rFonts w:eastAsia="Calibri" w:cs="Times New Roman"/>
                <w:szCs w:val="24"/>
              </w:rPr>
              <w:t xml:space="preserve">, J., </w:t>
            </w:r>
            <w:proofErr w:type="spellStart"/>
            <w:r w:rsidRPr="001431F1">
              <w:rPr>
                <w:rFonts w:eastAsia="Calibri" w:cs="Times New Roman"/>
                <w:szCs w:val="24"/>
              </w:rPr>
              <w:t>Topouzova</w:t>
            </w:r>
            <w:proofErr w:type="spellEnd"/>
            <w:r w:rsidRPr="001431F1">
              <w:rPr>
                <w:rFonts w:eastAsia="Calibri" w:cs="Times New Roman"/>
                <w:szCs w:val="24"/>
              </w:rPr>
              <w:t xml:space="preserve">-Hristova, T., </w:t>
            </w:r>
            <w:proofErr w:type="spellStart"/>
            <w:r w:rsidRPr="001431F1">
              <w:rPr>
                <w:rFonts w:eastAsia="Calibri" w:cs="Times New Roman"/>
                <w:szCs w:val="24"/>
              </w:rPr>
              <w:t>Petrov</w:t>
            </w:r>
            <w:proofErr w:type="spellEnd"/>
            <w:r w:rsidRPr="001431F1">
              <w:rPr>
                <w:rFonts w:eastAsia="Calibri" w:cs="Times New Roman"/>
                <w:szCs w:val="24"/>
              </w:rPr>
              <w:t xml:space="preserve">, P. Polymeric vehicles for transport and delivery of DNA via cationic micelle template method. Colloid </w:t>
            </w:r>
            <w:proofErr w:type="spellStart"/>
            <w:r w:rsidRPr="001431F1">
              <w:rPr>
                <w:rFonts w:eastAsia="Calibri" w:cs="Times New Roman"/>
                <w:szCs w:val="24"/>
              </w:rPr>
              <w:t>Polym</w:t>
            </w:r>
            <w:proofErr w:type="spellEnd"/>
            <w:r w:rsidRPr="001431F1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1431F1">
              <w:rPr>
                <w:rFonts w:eastAsia="Calibri" w:cs="Times New Roman"/>
                <w:szCs w:val="24"/>
              </w:rPr>
              <w:t>Sci</w:t>
            </w:r>
            <w:proofErr w:type="spellEnd"/>
            <w:r w:rsidRPr="001431F1">
              <w:rPr>
                <w:rFonts w:eastAsia="Calibri" w:cs="Times New Roman"/>
                <w:szCs w:val="24"/>
              </w:rPr>
              <w:t xml:space="preserve"> (2017). https://doi.org/10.1007/s00396-017-4193-7 </w:t>
            </w:r>
          </w:p>
          <w:p w:rsidR="00402517" w:rsidRPr="001431F1" w:rsidRDefault="00402517" w:rsidP="00402517">
            <w:pPr>
              <w:numPr>
                <w:ilvl w:val="0"/>
                <w:numId w:val="3"/>
              </w:numPr>
              <w:suppressAutoHyphens w:val="0"/>
              <w:spacing w:line="360" w:lineRule="auto"/>
              <w:jc w:val="both"/>
              <w:rPr>
                <w:rFonts w:eastAsia="Calibri" w:cs="Times New Roman"/>
                <w:szCs w:val="24"/>
                <w:lang w:val="en-GB"/>
              </w:rPr>
            </w:pPr>
            <w:r w:rsidRPr="001431F1">
              <w:rPr>
                <w:rFonts w:eastAsia="Calibri" w:cs="Times New Roman"/>
                <w:szCs w:val="24"/>
              </w:rPr>
              <w:t xml:space="preserve">Madalina G. </w:t>
            </w:r>
            <w:proofErr w:type="spellStart"/>
            <w:r w:rsidRPr="001431F1">
              <w:rPr>
                <w:rFonts w:eastAsia="Calibri" w:cs="Times New Roman"/>
                <w:szCs w:val="24"/>
              </w:rPr>
              <w:t>Albu</w:t>
            </w:r>
            <w:proofErr w:type="spellEnd"/>
            <w:r w:rsidRPr="001431F1"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r w:rsidRPr="001431F1">
              <w:rPr>
                <w:rFonts w:eastAsia="Calibri" w:cs="Times New Roman"/>
                <w:szCs w:val="24"/>
              </w:rPr>
              <w:t>Todorka</w:t>
            </w:r>
            <w:proofErr w:type="spellEnd"/>
            <w:r w:rsidRPr="001431F1">
              <w:rPr>
                <w:rFonts w:eastAsia="Calibri" w:cs="Times New Roman"/>
                <w:szCs w:val="24"/>
              </w:rPr>
              <w:t xml:space="preserve"> G. </w:t>
            </w:r>
            <w:proofErr w:type="spellStart"/>
            <w:r w:rsidRPr="001431F1">
              <w:rPr>
                <w:rFonts w:eastAsia="Calibri" w:cs="Times New Roman"/>
                <w:szCs w:val="24"/>
              </w:rPr>
              <w:t>Vladkova</w:t>
            </w:r>
            <w:proofErr w:type="spellEnd"/>
            <w:r w:rsidRPr="001431F1">
              <w:rPr>
                <w:rFonts w:eastAsia="Calibri" w:cs="Times New Roman"/>
                <w:szCs w:val="24"/>
              </w:rPr>
              <w:t xml:space="preserve"> , Iliana A. Ivanova, Ahmed S. A. </w:t>
            </w:r>
            <w:proofErr w:type="spellStart"/>
            <w:r w:rsidRPr="001431F1">
              <w:rPr>
                <w:rFonts w:eastAsia="Calibri" w:cs="Times New Roman"/>
                <w:szCs w:val="24"/>
              </w:rPr>
              <w:t>Shalaby</w:t>
            </w:r>
            <w:proofErr w:type="spellEnd"/>
            <w:r w:rsidRPr="001431F1">
              <w:rPr>
                <w:rFonts w:eastAsia="Calibri" w:cs="Times New Roman"/>
                <w:szCs w:val="24"/>
              </w:rPr>
              <w:t xml:space="preserve">, Veselina S. </w:t>
            </w:r>
            <w:proofErr w:type="spellStart"/>
            <w:r w:rsidRPr="001431F1">
              <w:rPr>
                <w:rFonts w:eastAsia="Calibri" w:cs="Times New Roman"/>
                <w:szCs w:val="24"/>
              </w:rPr>
              <w:t>Moskova-Doumanova</w:t>
            </w:r>
            <w:proofErr w:type="spellEnd"/>
            <w:r w:rsidRPr="001431F1">
              <w:rPr>
                <w:rFonts w:eastAsia="Calibri" w:cs="Times New Roman"/>
                <w:szCs w:val="24"/>
              </w:rPr>
              <w:t xml:space="preserve">, Anna D. </w:t>
            </w:r>
            <w:proofErr w:type="spellStart"/>
            <w:r w:rsidRPr="001431F1">
              <w:rPr>
                <w:rFonts w:eastAsia="Calibri" w:cs="Times New Roman"/>
                <w:szCs w:val="24"/>
              </w:rPr>
              <w:t>Staneva</w:t>
            </w:r>
            <w:proofErr w:type="spellEnd"/>
            <w:r w:rsidRPr="001431F1">
              <w:rPr>
                <w:rFonts w:eastAsia="Calibri" w:cs="Times New Roman"/>
                <w:szCs w:val="24"/>
              </w:rPr>
              <w:t xml:space="preserve">, Yanko B. </w:t>
            </w:r>
            <w:proofErr w:type="spellStart"/>
            <w:r w:rsidRPr="001431F1">
              <w:rPr>
                <w:rFonts w:eastAsia="Calibri" w:cs="Times New Roman"/>
                <w:szCs w:val="24"/>
              </w:rPr>
              <w:t>Dimitriev</w:t>
            </w:r>
            <w:proofErr w:type="spellEnd"/>
            <w:r w:rsidRPr="001431F1"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r w:rsidRPr="001431F1">
              <w:rPr>
                <w:rFonts w:eastAsia="Calibri" w:cs="Times New Roman"/>
                <w:szCs w:val="24"/>
              </w:rPr>
              <w:t>Anelya</w:t>
            </w:r>
            <w:proofErr w:type="spellEnd"/>
            <w:r w:rsidRPr="001431F1">
              <w:rPr>
                <w:rFonts w:eastAsia="Calibri" w:cs="Times New Roman"/>
                <w:szCs w:val="24"/>
              </w:rPr>
              <w:t xml:space="preserve"> S. </w:t>
            </w:r>
            <w:proofErr w:type="spellStart"/>
            <w:r w:rsidRPr="001431F1">
              <w:rPr>
                <w:rFonts w:eastAsia="Calibri" w:cs="Times New Roman"/>
                <w:szCs w:val="24"/>
              </w:rPr>
              <w:t>Kostadinova</w:t>
            </w:r>
            <w:proofErr w:type="spellEnd"/>
            <w:r w:rsidRPr="001431F1">
              <w:rPr>
                <w:rFonts w:eastAsia="Calibri" w:cs="Times New Roman"/>
                <w:szCs w:val="24"/>
              </w:rPr>
              <w:t xml:space="preserve">, Tanya I. </w:t>
            </w:r>
            <w:proofErr w:type="spellStart"/>
            <w:r w:rsidRPr="001431F1">
              <w:rPr>
                <w:rFonts w:eastAsia="Calibri" w:cs="Times New Roman"/>
                <w:szCs w:val="24"/>
              </w:rPr>
              <w:t>Topouzova</w:t>
            </w:r>
            <w:proofErr w:type="spellEnd"/>
            <w:r w:rsidRPr="001431F1">
              <w:rPr>
                <w:rFonts w:eastAsia="Calibri" w:cs="Times New Roman"/>
                <w:szCs w:val="24"/>
              </w:rPr>
              <w:t xml:space="preserve">-Hristova. 2016. Preparation and Biological Activity of New Collagen Composites, Part I: Collagen/Zinc </w:t>
            </w:r>
            <w:proofErr w:type="spellStart"/>
            <w:r w:rsidRPr="001431F1">
              <w:rPr>
                <w:rFonts w:eastAsia="Calibri" w:cs="Times New Roman"/>
                <w:szCs w:val="24"/>
              </w:rPr>
              <w:t>Titanate</w:t>
            </w:r>
            <w:proofErr w:type="spellEnd"/>
            <w:r w:rsidRPr="001431F1">
              <w:rPr>
                <w:rFonts w:eastAsia="Calibri" w:cs="Times New Roman"/>
                <w:szCs w:val="24"/>
              </w:rPr>
              <w:t xml:space="preserve"> Nanocomposites. Applied Biochemistry and Biotechnology, 180(1):177-93; DOI 10.1007/s12010-016-2092-x </w:t>
            </w:r>
          </w:p>
          <w:p w:rsidR="00402517" w:rsidRPr="001431F1" w:rsidRDefault="00402517" w:rsidP="00402517">
            <w:pPr>
              <w:numPr>
                <w:ilvl w:val="0"/>
                <w:numId w:val="3"/>
              </w:numPr>
              <w:suppressAutoHyphens w:val="0"/>
              <w:spacing w:line="360" w:lineRule="auto"/>
              <w:jc w:val="both"/>
              <w:rPr>
                <w:rFonts w:eastAsia="Calibri" w:cs="Times New Roman"/>
                <w:szCs w:val="24"/>
                <w:lang w:val="en-GB"/>
              </w:rPr>
            </w:pPr>
            <w:r w:rsidRPr="001431F1">
              <w:rPr>
                <w:rFonts w:eastAsia="Calibri" w:cs="Times New Roman"/>
                <w:szCs w:val="24"/>
              </w:rPr>
              <w:t xml:space="preserve">Emi </w:t>
            </w:r>
            <w:proofErr w:type="spellStart"/>
            <w:r w:rsidRPr="001431F1">
              <w:rPr>
                <w:rFonts w:eastAsia="Calibri" w:cs="Times New Roman"/>
                <w:szCs w:val="24"/>
              </w:rPr>
              <w:t>Radoslavova</w:t>
            </w:r>
            <w:proofErr w:type="spellEnd"/>
            <w:r w:rsidRPr="001431F1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1431F1">
              <w:rPr>
                <w:rFonts w:eastAsia="Calibri" w:cs="Times New Roman"/>
                <w:szCs w:val="24"/>
              </w:rPr>
              <w:t>Haladjova</w:t>
            </w:r>
            <w:proofErr w:type="spellEnd"/>
            <w:r w:rsidRPr="001431F1">
              <w:rPr>
                <w:rFonts w:eastAsia="Calibri" w:cs="Times New Roman"/>
                <w:szCs w:val="24"/>
              </w:rPr>
              <w:t xml:space="preserve">, Silvia S </w:t>
            </w:r>
            <w:proofErr w:type="spellStart"/>
            <w:r w:rsidRPr="001431F1">
              <w:rPr>
                <w:rFonts w:eastAsia="Calibri" w:cs="Times New Roman"/>
                <w:szCs w:val="24"/>
              </w:rPr>
              <w:t>Halacheva</w:t>
            </w:r>
            <w:proofErr w:type="spellEnd"/>
            <w:r w:rsidRPr="001431F1">
              <w:rPr>
                <w:rFonts w:eastAsia="Calibri" w:cs="Times New Roman"/>
                <w:szCs w:val="24"/>
              </w:rPr>
              <w:t xml:space="preserve">, Vilma </w:t>
            </w:r>
            <w:proofErr w:type="spellStart"/>
            <w:r w:rsidRPr="001431F1">
              <w:rPr>
                <w:rFonts w:eastAsia="Calibri" w:cs="Times New Roman"/>
                <w:szCs w:val="24"/>
              </w:rPr>
              <w:t>Posheva</w:t>
            </w:r>
            <w:proofErr w:type="spellEnd"/>
            <w:r w:rsidRPr="001431F1">
              <w:rPr>
                <w:rFonts w:eastAsia="Calibri" w:cs="Times New Roman"/>
                <w:szCs w:val="24"/>
              </w:rPr>
              <w:t xml:space="preserve">, Ekaterina </w:t>
            </w:r>
            <w:proofErr w:type="spellStart"/>
            <w:r w:rsidRPr="001431F1">
              <w:rPr>
                <w:rFonts w:eastAsia="Calibri" w:cs="Times New Roman"/>
                <w:szCs w:val="24"/>
              </w:rPr>
              <w:t>Peycheva</w:t>
            </w:r>
            <w:proofErr w:type="spellEnd"/>
            <w:r w:rsidRPr="001431F1">
              <w:rPr>
                <w:rFonts w:eastAsia="Calibri" w:cs="Times New Roman"/>
                <w:szCs w:val="24"/>
              </w:rPr>
              <w:t xml:space="preserve">, Veselina </w:t>
            </w:r>
            <w:proofErr w:type="spellStart"/>
            <w:r w:rsidRPr="001431F1">
              <w:rPr>
                <w:rFonts w:eastAsia="Calibri" w:cs="Times New Roman"/>
                <w:szCs w:val="24"/>
              </w:rPr>
              <w:t>Moskova-Doumanova</w:t>
            </w:r>
            <w:proofErr w:type="spellEnd"/>
            <w:r w:rsidRPr="001431F1">
              <w:rPr>
                <w:rFonts w:eastAsia="Calibri" w:cs="Times New Roman"/>
                <w:szCs w:val="24"/>
              </w:rPr>
              <w:t xml:space="preserve">, Tanya </w:t>
            </w:r>
            <w:proofErr w:type="spellStart"/>
            <w:r w:rsidRPr="001431F1">
              <w:rPr>
                <w:rFonts w:eastAsia="Calibri" w:cs="Times New Roman"/>
                <w:szCs w:val="24"/>
              </w:rPr>
              <w:t>Topouzova</w:t>
            </w:r>
            <w:proofErr w:type="spellEnd"/>
            <w:r w:rsidRPr="001431F1">
              <w:rPr>
                <w:rFonts w:eastAsia="Calibri" w:cs="Times New Roman"/>
                <w:szCs w:val="24"/>
              </w:rPr>
              <w:t xml:space="preserve">-Hristova, Jordan </w:t>
            </w:r>
            <w:proofErr w:type="spellStart"/>
            <w:r w:rsidRPr="001431F1">
              <w:rPr>
                <w:rFonts w:eastAsia="Calibri" w:cs="Times New Roman"/>
                <w:szCs w:val="24"/>
              </w:rPr>
              <w:t>Doumanov</w:t>
            </w:r>
            <w:proofErr w:type="spellEnd"/>
            <w:r w:rsidRPr="001431F1">
              <w:rPr>
                <w:rFonts w:eastAsia="Calibri" w:cs="Times New Roman"/>
                <w:szCs w:val="24"/>
              </w:rPr>
              <w:t xml:space="preserve">, Stanislav </w:t>
            </w:r>
            <w:proofErr w:type="spellStart"/>
            <w:r w:rsidRPr="001431F1">
              <w:rPr>
                <w:rFonts w:eastAsia="Calibri" w:cs="Times New Roman"/>
                <w:szCs w:val="24"/>
              </w:rPr>
              <w:t>Miletiev</w:t>
            </w:r>
            <w:proofErr w:type="spellEnd"/>
            <w:r w:rsidRPr="001431F1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1431F1">
              <w:rPr>
                <w:rFonts w:eastAsia="Calibri" w:cs="Times New Roman"/>
                <w:szCs w:val="24"/>
              </w:rPr>
              <w:t>Rangelov</w:t>
            </w:r>
            <w:proofErr w:type="spellEnd"/>
            <w:r w:rsidRPr="001431F1">
              <w:rPr>
                <w:rFonts w:eastAsia="Calibri" w:cs="Times New Roman"/>
                <w:szCs w:val="24"/>
              </w:rPr>
              <w:t xml:space="preserve">. Comb-like </w:t>
            </w:r>
            <w:proofErr w:type="spellStart"/>
            <w:r w:rsidRPr="001431F1">
              <w:rPr>
                <w:rFonts w:eastAsia="Calibri" w:cs="Times New Roman"/>
                <w:szCs w:val="24"/>
              </w:rPr>
              <w:t>Polyethyleneimine</w:t>
            </w:r>
            <w:proofErr w:type="spellEnd"/>
            <w:r w:rsidRPr="001431F1">
              <w:rPr>
                <w:rFonts w:eastAsia="Calibri" w:cs="Times New Roman"/>
                <w:szCs w:val="24"/>
              </w:rPr>
              <w:t xml:space="preserve">-based </w:t>
            </w:r>
            <w:proofErr w:type="spellStart"/>
            <w:r w:rsidRPr="001431F1">
              <w:rPr>
                <w:rFonts w:eastAsia="Calibri" w:cs="Times New Roman"/>
                <w:szCs w:val="24"/>
              </w:rPr>
              <w:t>Polyplexes</w:t>
            </w:r>
            <w:proofErr w:type="spellEnd"/>
            <w:r w:rsidRPr="001431F1">
              <w:rPr>
                <w:rFonts w:eastAsia="Calibri" w:cs="Times New Roman"/>
                <w:szCs w:val="24"/>
              </w:rPr>
              <w:t xml:space="preserve">: Balancing Toxicity, Cell Internalization, and Transfection </w:t>
            </w:r>
            <w:r w:rsidRPr="001431F1">
              <w:rPr>
                <w:rFonts w:eastAsia="Calibri" w:cs="Times New Roman"/>
                <w:szCs w:val="24"/>
              </w:rPr>
              <w:lastRenderedPageBreak/>
              <w:t xml:space="preserve">Efficiency via Polymer Chain Topology. 2015. Langmuir 31 (36), pp 10017–10025 DOI:10.1021/acs.langmuir.5b02408 </w:t>
            </w:r>
          </w:p>
          <w:p w:rsidR="00402517" w:rsidRPr="001431F1" w:rsidRDefault="00402517" w:rsidP="00402517">
            <w:pPr>
              <w:numPr>
                <w:ilvl w:val="0"/>
                <w:numId w:val="3"/>
              </w:numPr>
              <w:suppressAutoHyphens w:val="0"/>
              <w:spacing w:line="360" w:lineRule="auto"/>
              <w:contextualSpacing/>
              <w:rPr>
                <w:rFonts w:eastAsia="Calibri" w:cs="Times New Roman"/>
                <w:bCs/>
                <w:szCs w:val="24"/>
                <w:lang w:val="bg-BG"/>
              </w:rPr>
            </w:pPr>
            <w:proofErr w:type="spellStart"/>
            <w:r w:rsidRPr="001431F1">
              <w:rPr>
                <w:rFonts w:eastAsia="Calibri" w:cs="Times New Roman"/>
                <w:bCs/>
                <w:szCs w:val="24"/>
                <w:lang w:val="bg-BG"/>
              </w:rPr>
              <w:t>Vukova</w:t>
            </w:r>
            <w:proofErr w:type="spellEnd"/>
            <w:r w:rsidRPr="001431F1">
              <w:rPr>
                <w:rFonts w:eastAsia="Calibri" w:cs="Times New Roman"/>
                <w:bCs/>
                <w:szCs w:val="24"/>
                <w:lang w:val="bg-BG"/>
              </w:rPr>
              <w:t xml:space="preserve"> TI, Dimitrov SD, </w:t>
            </w:r>
            <w:proofErr w:type="spellStart"/>
            <w:r w:rsidRPr="001431F1">
              <w:rPr>
                <w:rFonts w:eastAsia="Calibri" w:cs="Times New Roman"/>
                <w:bCs/>
                <w:szCs w:val="24"/>
                <w:lang w:val="bg-BG"/>
              </w:rPr>
              <w:t>Gagov</w:t>
            </w:r>
            <w:proofErr w:type="spellEnd"/>
            <w:r w:rsidRPr="001431F1">
              <w:rPr>
                <w:rFonts w:eastAsia="Calibri" w:cs="Times New Roman"/>
                <w:bCs/>
                <w:szCs w:val="24"/>
                <w:lang w:val="bg-BG"/>
              </w:rPr>
              <w:t xml:space="preserve"> HS, Dimitrova DZ. (2016) </w:t>
            </w:r>
            <w:proofErr w:type="spellStart"/>
            <w:r w:rsidRPr="001431F1">
              <w:rPr>
                <w:rFonts w:eastAsia="Calibri" w:cs="Times New Roman"/>
                <w:bCs/>
                <w:szCs w:val="24"/>
                <w:lang w:val="bg-BG"/>
              </w:rPr>
              <w:t>In</w:t>
            </w:r>
            <w:proofErr w:type="spellEnd"/>
            <w:r w:rsidRPr="001431F1">
              <w:rPr>
                <w:rFonts w:eastAsia="Calibri" w:cs="Times New Roman"/>
                <w:bCs/>
                <w:szCs w:val="24"/>
                <w:lang w:val="bg-BG"/>
              </w:rPr>
              <w:t xml:space="preserve"> </w:t>
            </w:r>
            <w:proofErr w:type="spellStart"/>
            <w:r w:rsidRPr="001431F1">
              <w:rPr>
                <w:rFonts w:eastAsia="Calibri" w:cs="Times New Roman"/>
                <w:bCs/>
                <w:szCs w:val="24"/>
                <w:lang w:val="bg-BG"/>
              </w:rPr>
              <w:t>focus</w:t>
            </w:r>
            <w:proofErr w:type="spellEnd"/>
            <w:r w:rsidRPr="001431F1">
              <w:rPr>
                <w:rFonts w:eastAsia="Calibri" w:cs="Times New Roman"/>
                <w:bCs/>
                <w:szCs w:val="24"/>
                <w:lang w:val="bg-BG"/>
              </w:rPr>
              <w:t xml:space="preserve">: Fe3O4 </w:t>
            </w:r>
            <w:proofErr w:type="spellStart"/>
            <w:r w:rsidRPr="001431F1">
              <w:rPr>
                <w:rFonts w:eastAsia="Calibri" w:cs="Times New Roman"/>
                <w:bCs/>
                <w:szCs w:val="24"/>
                <w:lang w:val="bg-BG"/>
              </w:rPr>
              <w:t>nanoparticles</w:t>
            </w:r>
            <w:proofErr w:type="spellEnd"/>
            <w:r w:rsidRPr="001431F1">
              <w:rPr>
                <w:rFonts w:eastAsia="Calibri" w:cs="Times New Roman"/>
                <w:bCs/>
                <w:szCs w:val="24"/>
                <w:lang w:val="bg-BG"/>
              </w:rPr>
              <w:t xml:space="preserve"> </w:t>
            </w:r>
            <w:proofErr w:type="spellStart"/>
            <w:r w:rsidRPr="001431F1">
              <w:rPr>
                <w:rFonts w:eastAsia="Calibri" w:cs="Times New Roman"/>
                <w:bCs/>
                <w:szCs w:val="24"/>
                <w:lang w:val="bg-BG"/>
              </w:rPr>
              <w:t>and</w:t>
            </w:r>
            <w:proofErr w:type="spellEnd"/>
            <w:r w:rsidRPr="001431F1">
              <w:rPr>
                <w:rFonts w:eastAsia="Calibri" w:cs="Times New Roman"/>
                <w:bCs/>
                <w:szCs w:val="24"/>
                <w:lang w:val="bg-BG"/>
              </w:rPr>
              <w:t xml:space="preserve"> </w:t>
            </w:r>
            <w:proofErr w:type="spellStart"/>
            <w:r w:rsidRPr="001431F1">
              <w:rPr>
                <w:rFonts w:eastAsia="Calibri" w:cs="Times New Roman"/>
                <w:bCs/>
                <w:szCs w:val="24"/>
                <w:lang w:val="bg-BG"/>
              </w:rPr>
              <w:t>human</w:t>
            </w:r>
            <w:proofErr w:type="spellEnd"/>
            <w:r w:rsidRPr="001431F1">
              <w:rPr>
                <w:rFonts w:eastAsia="Calibri" w:cs="Times New Roman"/>
                <w:bCs/>
                <w:szCs w:val="24"/>
                <w:lang w:val="bg-BG"/>
              </w:rPr>
              <w:t xml:space="preserve"> </w:t>
            </w:r>
            <w:proofErr w:type="spellStart"/>
            <w:r w:rsidRPr="001431F1">
              <w:rPr>
                <w:rFonts w:eastAsia="Calibri" w:cs="Times New Roman"/>
                <w:bCs/>
                <w:szCs w:val="24"/>
                <w:lang w:val="bg-BG"/>
              </w:rPr>
              <w:t>mesenteric</w:t>
            </w:r>
            <w:proofErr w:type="spellEnd"/>
            <w:r w:rsidRPr="001431F1">
              <w:rPr>
                <w:rFonts w:eastAsia="Calibri" w:cs="Times New Roman"/>
                <w:bCs/>
                <w:szCs w:val="24"/>
                <w:lang w:val="bg-BG"/>
              </w:rPr>
              <w:t xml:space="preserve"> </w:t>
            </w:r>
            <w:proofErr w:type="spellStart"/>
            <w:r w:rsidRPr="001431F1">
              <w:rPr>
                <w:rFonts w:eastAsia="Calibri" w:cs="Times New Roman"/>
                <w:bCs/>
                <w:szCs w:val="24"/>
                <w:lang w:val="bg-BG"/>
              </w:rPr>
              <w:t>artery</w:t>
            </w:r>
            <w:proofErr w:type="spellEnd"/>
            <w:r w:rsidRPr="001431F1">
              <w:rPr>
                <w:rFonts w:eastAsia="Calibri" w:cs="Times New Roman"/>
                <w:bCs/>
                <w:szCs w:val="24"/>
                <w:lang w:val="bg-BG"/>
              </w:rPr>
              <w:t xml:space="preserve"> </w:t>
            </w:r>
            <w:proofErr w:type="spellStart"/>
            <w:r w:rsidRPr="001431F1">
              <w:rPr>
                <w:rFonts w:eastAsia="Calibri" w:cs="Times New Roman"/>
                <w:bCs/>
                <w:szCs w:val="24"/>
                <w:lang w:val="bg-BG"/>
              </w:rPr>
              <w:t>interaction</w:t>
            </w:r>
            <w:proofErr w:type="spellEnd"/>
            <w:r w:rsidRPr="001431F1">
              <w:rPr>
                <w:rFonts w:eastAsia="Calibri" w:cs="Times New Roman"/>
                <w:bCs/>
                <w:szCs w:val="24"/>
                <w:lang w:val="bg-BG"/>
              </w:rPr>
              <w:t xml:space="preserve"> </w:t>
            </w:r>
            <w:proofErr w:type="spellStart"/>
            <w:r w:rsidRPr="001431F1">
              <w:rPr>
                <w:rFonts w:eastAsia="Calibri" w:cs="Times New Roman"/>
                <w:bCs/>
                <w:szCs w:val="24"/>
                <w:lang w:val="bg-BG"/>
              </w:rPr>
              <w:t>in</w:t>
            </w:r>
            <w:proofErr w:type="spellEnd"/>
            <w:r w:rsidRPr="001431F1">
              <w:rPr>
                <w:rFonts w:eastAsia="Calibri" w:cs="Times New Roman"/>
                <w:bCs/>
                <w:szCs w:val="24"/>
                <w:lang w:val="bg-BG"/>
              </w:rPr>
              <w:t xml:space="preserve"> </w:t>
            </w:r>
            <w:proofErr w:type="spellStart"/>
            <w:r w:rsidRPr="001431F1">
              <w:rPr>
                <w:rFonts w:eastAsia="Calibri" w:cs="Times New Roman"/>
                <w:bCs/>
                <w:szCs w:val="24"/>
                <w:lang w:val="bg-BG"/>
              </w:rPr>
              <w:t>vitro</w:t>
            </w:r>
            <w:proofErr w:type="spellEnd"/>
            <w:r w:rsidRPr="001431F1">
              <w:rPr>
                <w:rFonts w:eastAsia="Calibri" w:cs="Times New Roman"/>
                <w:bCs/>
                <w:szCs w:val="24"/>
                <w:lang w:val="bg-BG"/>
              </w:rPr>
              <w:t xml:space="preserve">. </w:t>
            </w:r>
            <w:proofErr w:type="spellStart"/>
            <w:r w:rsidRPr="001431F1">
              <w:rPr>
                <w:rFonts w:eastAsia="Calibri" w:cs="Times New Roman"/>
                <w:bCs/>
                <w:szCs w:val="24"/>
                <w:lang w:val="bg-BG"/>
              </w:rPr>
              <w:t>Nanomedicine</w:t>
            </w:r>
            <w:proofErr w:type="spellEnd"/>
            <w:r w:rsidRPr="001431F1">
              <w:rPr>
                <w:rFonts w:eastAsia="Calibri" w:cs="Times New Roman"/>
                <w:bCs/>
                <w:szCs w:val="24"/>
                <w:lang w:val="bg-BG"/>
              </w:rPr>
              <w:t xml:space="preserve"> (</w:t>
            </w:r>
            <w:proofErr w:type="spellStart"/>
            <w:r w:rsidRPr="001431F1">
              <w:rPr>
                <w:rFonts w:eastAsia="Calibri" w:cs="Times New Roman"/>
                <w:bCs/>
                <w:szCs w:val="24"/>
                <w:lang w:val="bg-BG"/>
              </w:rPr>
              <w:t>Lond</w:t>
            </w:r>
            <w:proofErr w:type="spellEnd"/>
            <w:r w:rsidRPr="001431F1">
              <w:rPr>
                <w:rFonts w:eastAsia="Calibri" w:cs="Times New Roman"/>
                <w:bCs/>
                <w:szCs w:val="24"/>
                <w:lang w:val="bg-BG"/>
              </w:rPr>
              <w:t>). 11(8): 921-32. IF 4.93</w:t>
            </w:r>
          </w:p>
          <w:p w:rsidR="00402517" w:rsidRPr="001431F1" w:rsidRDefault="00402517" w:rsidP="00402517">
            <w:pPr>
              <w:numPr>
                <w:ilvl w:val="0"/>
                <w:numId w:val="3"/>
              </w:numPr>
              <w:suppressAutoHyphens w:val="0"/>
              <w:spacing w:after="0" w:line="360" w:lineRule="auto"/>
              <w:jc w:val="both"/>
              <w:rPr>
                <w:rFonts w:eastAsia="Calibri" w:cs="Times New Roman"/>
                <w:szCs w:val="24"/>
                <w:lang w:val="en-GB"/>
              </w:rPr>
            </w:pPr>
            <w:proofErr w:type="spellStart"/>
            <w:r w:rsidRPr="001431F1">
              <w:rPr>
                <w:rFonts w:eastAsia="Calibri" w:cs="Times New Roman"/>
                <w:szCs w:val="24"/>
                <w:lang w:val="en-GB"/>
              </w:rPr>
              <w:t>Mircheva</w:t>
            </w:r>
            <w:proofErr w:type="spellEnd"/>
            <w:r w:rsidRPr="001431F1">
              <w:rPr>
                <w:rFonts w:eastAsia="Calibri" w:cs="Times New Roman"/>
                <w:szCs w:val="24"/>
                <w:lang w:val="en-GB"/>
              </w:rPr>
              <w:t xml:space="preserve">, K., </w:t>
            </w:r>
            <w:proofErr w:type="spellStart"/>
            <w:r w:rsidRPr="001431F1">
              <w:rPr>
                <w:rFonts w:eastAsia="Calibri" w:cs="Times New Roman"/>
                <w:szCs w:val="24"/>
                <w:lang w:val="en-GB"/>
              </w:rPr>
              <w:t>Petrova</w:t>
            </w:r>
            <w:proofErr w:type="spellEnd"/>
            <w:r w:rsidRPr="001431F1">
              <w:rPr>
                <w:rFonts w:eastAsia="Calibri" w:cs="Times New Roman"/>
                <w:szCs w:val="24"/>
                <w:lang w:val="en-GB"/>
              </w:rPr>
              <w:t xml:space="preserve">, S.D., Ivanova, T., </w:t>
            </w:r>
            <w:proofErr w:type="spellStart"/>
            <w:r w:rsidRPr="001431F1">
              <w:rPr>
                <w:rFonts w:eastAsia="Calibri" w:cs="Times New Roman"/>
                <w:szCs w:val="24"/>
                <w:lang w:val="en-GB"/>
              </w:rPr>
              <w:t>Panaiotov</w:t>
            </w:r>
            <w:proofErr w:type="spellEnd"/>
            <w:r w:rsidRPr="001431F1">
              <w:rPr>
                <w:rFonts w:eastAsia="Calibri" w:cs="Times New Roman"/>
                <w:szCs w:val="24"/>
                <w:lang w:val="en-GB"/>
              </w:rPr>
              <w:t xml:space="preserve">, I., </w:t>
            </w:r>
            <w:proofErr w:type="spellStart"/>
            <w:r w:rsidRPr="001431F1">
              <w:rPr>
                <w:rFonts w:eastAsia="Calibri" w:cs="Times New Roman"/>
                <w:szCs w:val="24"/>
                <w:lang w:val="en-GB"/>
              </w:rPr>
              <w:t>Balashev</w:t>
            </w:r>
            <w:proofErr w:type="spellEnd"/>
            <w:r w:rsidRPr="001431F1">
              <w:rPr>
                <w:rFonts w:eastAsia="Calibri" w:cs="Times New Roman"/>
                <w:szCs w:val="24"/>
                <w:lang w:val="en-GB"/>
              </w:rPr>
              <w:t xml:space="preserve">, K.T. Action of </w:t>
            </w:r>
            <w:proofErr w:type="spellStart"/>
            <w:r w:rsidRPr="001431F1">
              <w:rPr>
                <w:rFonts w:eastAsia="Calibri" w:cs="Times New Roman"/>
                <w:szCs w:val="24"/>
                <w:lang w:val="en-GB"/>
              </w:rPr>
              <w:t>Vipoxin</w:t>
            </w:r>
            <w:proofErr w:type="spellEnd"/>
            <w:r w:rsidRPr="001431F1">
              <w:rPr>
                <w:rFonts w:eastAsia="Calibri" w:cs="Times New Roman"/>
                <w:szCs w:val="24"/>
                <w:lang w:val="en-GB"/>
              </w:rPr>
              <w:t xml:space="preserve"> and its separated components on monomolecular film of </w:t>
            </w:r>
            <w:proofErr w:type="spellStart"/>
            <w:r w:rsidRPr="001431F1">
              <w:rPr>
                <w:rFonts w:eastAsia="Calibri" w:cs="Times New Roman"/>
                <w:szCs w:val="24"/>
                <w:lang w:val="en-GB"/>
              </w:rPr>
              <w:t>dilauroylphosphatidylcholine</w:t>
            </w:r>
            <w:proofErr w:type="spellEnd"/>
            <w:r w:rsidRPr="001431F1">
              <w:rPr>
                <w:rFonts w:eastAsia="Calibri" w:cs="Times New Roman"/>
                <w:szCs w:val="24"/>
                <w:lang w:val="en-GB"/>
              </w:rPr>
              <w:t xml:space="preserve"> at the air/water interface. Colloids and Surfaces A: Physicochemical and Engineering Aspects, 562, 2019, 196-202.</w:t>
            </w:r>
          </w:p>
          <w:p w:rsidR="00402517" w:rsidRDefault="00402517" w:rsidP="00402517">
            <w:pPr>
              <w:numPr>
                <w:ilvl w:val="0"/>
                <w:numId w:val="3"/>
              </w:numPr>
              <w:suppressAutoHyphens w:val="0"/>
              <w:spacing w:after="0" w:line="360" w:lineRule="auto"/>
              <w:jc w:val="both"/>
              <w:rPr>
                <w:rFonts w:eastAsia="Calibri" w:cs="Times New Roman"/>
                <w:szCs w:val="24"/>
                <w:lang w:val="en-GB"/>
              </w:rPr>
            </w:pPr>
            <w:r w:rsidRPr="001431F1">
              <w:rPr>
                <w:rFonts w:eastAsia="Calibri" w:cs="Times New Roman"/>
                <w:szCs w:val="24"/>
                <w:lang w:val="en-GB"/>
              </w:rPr>
              <w:t xml:space="preserve">T.D. </w:t>
            </w:r>
            <w:proofErr w:type="spellStart"/>
            <w:r w:rsidRPr="001431F1">
              <w:rPr>
                <w:rFonts w:eastAsia="Calibri" w:cs="Times New Roman"/>
                <w:szCs w:val="24"/>
                <w:lang w:val="en-GB"/>
              </w:rPr>
              <w:t>Andreeva</w:t>
            </w:r>
            <w:proofErr w:type="spellEnd"/>
            <w:r w:rsidRPr="001431F1">
              <w:rPr>
                <w:rFonts w:eastAsia="Calibri" w:cs="Times New Roman"/>
                <w:szCs w:val="24"/>
                <w:lang w:val="en-GB"/>
              </w:rPr>
              <w:t xml:space="preserve">, S.D. </w:t>
            </w:r>
            <w:proofErr w:type="spellStart"/>
            <w:r w:rsidRPr="001431F1">
              <w:rPr>
                <w:rFonts w:eastAsia="Calibri" w:cs="Times New Roman"/>
                <w:szCs w:val="24"/>
                <w:lang w:val="en-GB"/>
              </w:rPr>
              <w:t>Petrova</w:t>
            </w:r>
            <w:proofErr w:type="spellEnd"/>
            <w:r w:rsidRPr="001431F1">
              <w:rPr>
                <w:rFonts w:eastAsia="Calibri" w:cs="Times New Roman"/>
                <w:szCs w:val="24"/>
                <w:lang w:val="en-GB"/>
              </w:rPr>
              <w:t xml:space="preserve">, K. </w:t>
            </w:r>
            <w:proofErr w:type="spellStart"/>
            <w:r w:rsidRPr="001431F1">
              <w:rPr>
                <w:rFonts w:eastAsia="Calibri" w:cs="Times New Roman"/>
                <w:szCs w:val="24"/>
                <w:lang w:val="en-GB"/>
              </w:rPr>
              <w:t>Mladenova</w:t>
            </w:r>
            <w:proofErr w:type="spellEnd"/>
            <w:r w:rsidRPr="001431F1">
              <w:rPr>
                <w:rFonts w:eastAsia="Calibri" w:cs="Times New Roman"/>
                <w:szCs w:val="24"/>
                <w:lang w:val="en-GB"/>
              </w:rPr>
              <w:t xml:space="preserve">, V. </w:t>
            </w:r>
            <w:proofErr w:type="spellStart"/>
            <w:r w:rsidRPr="001431F1">
              <w:rPr>
                <w:rFonts w:eastAsia="Calibri" w:cs="Times New Roman"/>
                <w:szCs w:val="24"/>
                <w:lang w:val="en-GB"/>
              </w:rPr>
              <w:t>Moskova-Doumanova</w:t>
            </w:r>
            <w:proofErr w:type="spellEnd"/>
            <w:r w:rsidRPr="001431F1">
              <w:rPr>
                <w:rFonts w:eastAsia="Calibri" w:cs="Times New Roman"/>
                <w:szCs w:val="24"/>
                <w:lang w:val="en-GB"/>
              </w:rPr>
              <w:t xml:space="preserve">, T. </w:t>
            </w:r>
            <w:proofErr w:type="spellStart"/>
            <w:r w:rsidRPr="001431F1">
              <w:rPr>
                <w:rFonts w:eastAsia="Calibri" w:cs="Times New Roman"/>
                <w:szCs w:val="24"/>
                <w:lang w:val="en-GB"/>
              </w:rPr>
              <w:t>Topouzova</w:t>
            </w:r>
            <w:proofErr w:type="spellEnd"/>
            <w:r w:rsidRPr="001431F1">
              <w:rPr>
                <w:rFonts w:eastAsia="Calibri" w:cs="Times New Roman"/>
                <w:szCs w:val="24"/>
                <w:lang w:val="en-GB"/>
              </w:rPr>
              <w:t xml:space="preserve">-Hristova, N. </w:t>
            </w:r>
            <w:proofErr w:type="spellStart"/>
            <w:r w:rsidRPr="001431F1">
              <w:rPr>
                <w:rFonts w:eastAsia="Calibri" w:cs="Times New Roman"/>
                <w:szCs w:val="24"/>
                <w:lang w:val="en-GB"/>
              </w:rPr>
              <w:t>Mladenov</w:t>
            </w:r>
            <w:proofErr w:type="spellEnd"/>
            <w:r w:rsidRPr="001431F1">
              <w:rPr>
                <w:rFonts w:eastAsia="Calibri" w:cs="Times New Roman"/>
                <w:szCs w:val="24"/>
                <w:lang w:val="en-GB"/>
              </w:rPr>
              <w:t xml:space="preserve">, K. </w:t>
            </w:r>
            <w:proofErr w:type="spellStart"/>
            <w:r w:rsidRPr="001431F1">
              <w:rPr>
                <w:rFonts w:eastAsia="Calibri" w:cs="Times New Roman"/>
                <w:szCs w:val="24"/>
                <w:lang w:val="en-GB"/>
              </w:rPr>
              <w:t>Balashev</w:t>
            </w:r>
            <w:proofErr w:type="spellEnd"/>
            <w:r w:rsidRPr="001431F1">
              <w:rPr>
                <w:rFonts w:eastAsia="Calibri" w:cs="Times New Roman"/>
                <w:szCs w:val="24"/>
                <w:lang w:val="en-GB"/>
              </w:rPr>
              <w:t xml:space="preserve">, Z. </w:t>
            </w:r>
            <w:proofErr w:type="spellStart"/>
            <w:r w:rsidRPr="001431F1">
              <w:rPr>
                <w:rFonts w:eastAsia="Calibri" w:cs="Times New Roman"/>
                <w:szCs w:val="24"/>
                <w:lang w:val="en-GB"/>
              </w:rPr>
              <w:t>Lalchev</w:t>
            </w:r>
            <w:proofErr w:type="spellEnd"/>
            <w:r w:rsidRPr="001431F1">
              <w:rPr>
                <w:rFonts w:eastAsia="Calibri" w:cs="Times New Roman"/>
                <w:szCs w:val="24"/>
                <w:lang w:val="en-GB"/>
              </w:rPr>
              <w:t xml:space="preserve">, J. </w:t>
            </w:r>
            <w:proofErr w:type="spellStart"/>
            <w:r w:rsidRPr="001431F1">
              <w:rPr>
                <w:rFonts w:eastAsia="Calibri" w:cs="Times New Roman"/>
                <w:szCs w:val="24"/>
                <w:lang w:val="en-GB"/>
              </w:rPr>
              <w:t>Doumanov</w:t>
            </w:r>
            <w:proofErr w:type="spellEnd"/>
            <w:r w:rsidRPr="001431F1">
              <w:rPr>
                <w:rFonts w:eastAsia="Calibri" w:cs="Times New Roman"/>
                <w:szCs w:val="24"/>
                <w:lang w:val="en-GB"/>
              </w:rPr>
              <w:t xml:space="preserve"> Effects of Ca2+, </w:t>
            </w:r>
            <w:proofErr w:type="spellStart"/>
            <w:r w:rsidRPr="001431F1">
              <w:rPr>
                <w:rFonts w:eastAsia="Calibri" w:cs="Times New Roman"/>
                <w:szCs w:val="24"/>
                <w:lang w:val="en-GB"/>
              </w:rPr>
              <w:t>Glu</w:t>
            </w:r>
            <w:proofErr w:type="spellEnd"/>
            <w:r w:rsidRPr="001431F1">
              <w:rPr>
                <w:rFonts w:eastAsia="Calibri" w:cs="Times New Roman"/>
                <w:szCs w:val="24"/>
                <w:lang w:val="en-GB"/>
              </w:rPr>
              <w:t xml:space="preserve"> and GABA on hBest1 and composite hBest1/POPC surface films. Colloids and Surfaces B: </w:t>
            </w:r>
            <w:proofErr w:type="spellStart"/>
            <w:r w:rsidRPr="001431F1">
              <w:rPr>
                <w:rFonts w:eastAsia="Calibri" w:cs="Times New Roman"/>
                <w:szCs w:val="24"/>
                <w:lang w:val="en-GB"/>
              </w:rPr>
              <w:t>Bio</w:t>
            </w:r>
            <w:r>
              <w:rPr>
                <w:rFonts w:eastAsia="Calibri" w:cs="Times New Roman"/>
                <w:szCs w:val="24"/>
                <w:lang w:val="en-GB"/>
              </w:rPr>
              <w:t>interfaces</w:t>
            </w:r>
            <w:proofErr w:type="spellEnd"/>
            <w:r>
              <w:rPr>
                <w:rFonts w:eastAsia="Calibri" w:cs="Times New Roman"/>
                <w:szCs w:val="24"/>
                <w:lang w:val="en-GB"/>
              </w:rPr>
              <w:t>, 161, 2018, 192-199.</w:t>
            </w:r>
          </w:p>
          <w:p w:rsidR="00D86E0C" w:rsidRPr="00402517" w:rsidRDefault="00402517" w:rsidP="00402517">
            <w:pPr>
              <w:numPr>
                <w:ilvl w:val="0"/>
                <w:numId w:val="3"/>
              </w:numPr>
              <w:suppressAutoHyphens w:val="0"/>
              <w:spacing w:after="0" w:line="360" w:lineRule="auto"/>
              <w:jc w:val="both"/>
              <w:rPr>
                <w:rFonts w:eastAsia="Calibri" w:cs="Times New Roman"/>
                <w:szCs w:val="24"/>
                <w:lang w:val="en-GB"/>
              </w:rPr>
            </w:pPr>
            <w:r w:rsidRPr="00402517">
              <w:rPr>
                <w:rFonts w:eastAsia="Calibri" w:cs="Times New Roman"/>
                <w:szCs w:val="24"/>
              </w:rPr>
              <w:t xml:space="preserve">A. </w:t>
            </w:r>
            <w:proofErr w:type="spellStart"/>
            <w:r w:rsidRPr="00402517">
              <w:rPr>
                <w:rFonts w:eastAsia="Calibri" w:cs="Times New Roman"/>
                <w:szCs w:val="24"/>
              </w:rPr>
              <w:t>Chanachev</w:t>
            </w:r>
            <w:proofErr w:type="spellEnd"/>
            <w:r w:rsidRPr="00402517">
              <w:rPr>
                <w:rFonts w:eastAsia="Calibri" w:cs="Times New Roman"/>
                <w:szCs w:val="24"/>
              </w:rPr>
              <w:t xml:space="preserve">, S. </w:t>
            </w:r>
            <w:proofErr w:type="spellStart"/>
            <w:r w:rsidRPr="00402517">
              <w:rPr>
                <w:rFonts w:eastAsia="Calibri" w:cs="Times New Roman"/>
                <w:szCs w:val="24"/>
              </w:rPr>
              <w:t>Simeonova</w:t>
            </w:r>
            <w:proofErr w:type="spellEnd"/>
            <w:r w:rsidRPr="00402517">
              <w:rPr>
                <w:rFonts w:eastAsia="Calibri" w:cs="Times New Roman"/>
                <w:szCs w:val="24"/>
              </w:rPr>
              <w:t xml:space="preserve">, P. </w:t>
            </w:r>
            <w:proofErr w:type="spellStart"/>
            <w:r w:rsidRPr="00402517">
              <w:rPr>
                <w:rFonts w:eastAsia="Calibri" w:cs="Times New Roman"/>
                <w:szCs w:val="24"/>
              </w:rPr>
              <w:t>Georgiev</w:t>
            </w:r>
            <w:proofErr w:type="spellEnd"/>
            <w:r w:rsidRPr="00402517"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r w:rsidRPr="00402517">
              <w:rPr>
                <w:rFonts w:eastAsia="Calibri" w:cs="Times New Roman"/>
                <w:szCs w:val="24"/>
              </w:rPr>
              <w:t>Tz</w:t>
            </w:r>
            <w:proofErr w:type="spellEnd"/>
            <w:r w:rsidRPr="00402517">
              <w:rPr>
                <w:rFonts w:eastAsia="Calibri" w:cs="Times New Roman"/>
                <w:szCs w:val="24"/>
              </w:rPr>
              <w:t xml:space="preserve">. Ivanova, S. </w:t>
            </w:r>
            <w:proofErr w:type="spellStart"/>
            <w:r w:rsidRPr="00402517">
              <w:rPr>
                <w:rFonts w:eastAsia="Calibri" w:cs="Times New Roman"/>
                <w:szCs w:val="24"/>
              </w:rPr>
              <w:t>Petrova</w:t>
            </w:r>
            <w:proofErr w:type="spellEnd"/>
            <w:r w:rsidRPr="00402517">
              <w:rPr>
                <w:rFonts w:eastAsia="Calibri" w:cs="Times New Roman"/>
                <w:szCs w:val="24"/>
              </w:rPr>
              <w:t xml:space="preserve">, K. </w:t>
            </w:r>
            <w:proofErr w:type="spellStart"/>
            <w:r w:rsidRPr="00402517">
              <w:rPr>
                <w:rFonts w:eastAsia="Calibri" w:cs="Times New Roman"/>
                <w:szCs w:val="24"/>
              </w:rPr>
              <w:t>Balashev</w:t>
            </w:r>
            <w:proofErr w:type="spellEnd"/>
            <w:r w:rsidRPr="00402517">
              <w:rPr>
                <w:rFonts w:eastAsia="Calibri" w:cs="Times New Roman"/>
                <w:szCs w:val="24"/>
              </w:rPr>
              <w:t xml:space="preserve">. Characterization by atomic force microscopy of gold nanoparticles functionalized with </w:t>
            </w:r>
            <w:proofErr w:type="spellStart"/>
            <w:r w:rsidRPr="00402517">
              <w:rPr>
                <w:rFonts w:eastAsia="Calibri" w:cs="Times New Roman"/>
                <w:szCs w:val="24"/>
              </w:rPr>
              <w:t>azocasein</w:t>
            </w:r>
            <w:proofErr w:type="spellEnd"/>
            <w:r w:rsidRPr="00402517">
              <w:rPr>
                <w:rFonts w:eastAsia="Calibri" w:cs="Times New Roman"/>
                <w:szCs w:val="24"/>
              </w:rPr>
              <w:t xml:space="preserve"> for protease colorimetric enzyme assay. Bulgarian chemical communication 50, 2018, 223-227.</w:t>
            </w:r>
          </w:p>
        </w:tc>
      </w:tr>
      <w:tr w:rsidR="00D86E0C" w:rsidTr="0047640D">
        <w:tc>
          <w:tcPr>
            <w:tcW w:w="11016" w:type="dxa"/>
            <w:gridSpan w:val="2"/>
            <w:tcBorders>
              <w:bottom w:val="nil"/>
              <w:right w:val="nil"/>
            </w:tcBorders>
          </w:tcPr>
          <w:p w:rsidR="00D86E0C" w:rsidRDefault="007339F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462"/>
            </w:pPr>
            <w:r>
              <w:rPr>
                <w:b/>
              </w:rPr>
              <w:lastRenderedPageBreak/>
              <w:t>COORDINATOR</w:t>
            </w:r>
          </w:p>
        </w:tc>
      </w:tr>
      <w:tr w:rsidR="00D86E0C" w:rsidTr="0047640D">
        <w:tc>
          <w:tcPr>
            <w:tcW w:w="2601" w:type="dxa"/>
            <w:vMerge w:val="restart"/>
            <w:tcBorders>
              <w:top w:val="nil"/>
              <w:left w:val="nil"/>
              <w:bottom w:val="nil"/>
            </w:tcBorders>
          </w:tcPr>
          <w:p w:rsidR="00D86E0C" w:rsidRDefault="00D86E0C">
            <w:pPr>
              <w:spacing w:after="0" w:line="360" w:lineRule="auto"/>
            </w:pPr>
            <w:bookmarkStart w:id="7" w:name="Coordinator"/>
            <w:bookmarkEnd w:id="7"/>
          </w:p>
        </w:tc>
        <w:tc>
          <w:tcPr>
            <w:tcW w:w="8415" w:type="dxa"/>
            <w:tcBorders>
              <w:top w:val="nil"/>
              <w:bottom w:val="nil"/>
              <w:right w:val="nil"/>
            </w:tcBorders>
          </w:tcPr>
          <w:p w:rsidR="00D86E0C" w:rsidRDefault="007339FC">
            <w:pPr>
              <w:spacing w:after="0" w:line="360" w:lineRule="auto"/>
              <w:jc w:val="both"/>
              <w:rPr>
                <w:i/>
                <w:lang w:val="bg-BG"/>
              </w:rPr>
            </w:pPr>
            <w:r>
              <w:rPr>
                <w:i/>
              </w:rPr>
              <w:t>Full name of the coordinator organization;</w:t>
            </w:r>
          </w:p>
          <w:p w:rsidR="00D86E0C" w:rsidRDefault="007339FC">
            <w:pPr>
              <w:spacing w:after="0" w:line="360" w:lineRule="auto"/>
              <w:jc w:val="both"/>
              <w:rPr>
                <w:b/>
                <w:lang w:val="bg-BG"/>
              </w:rPr>
            </w:pPr>
            <w:r>
              <w:rPr>
                <w:b/>
                <w:lang w:val="en-GB"/>
              </w:rPr>
              <w:t xml:space="preserve">The Stephan </w:t>
            </w:r>
            <w:proofErr w:type="spellStart"/>
            <w:r>
              <w:rPr>
                <w:b/>
                <w:lang w:val="en-GB"/>
              </w:rPr>
              <w:t>Angeloff</w:t>
            </w:r>
            <w:proofErr w:type="spellEnd"/>
            <w:r>
              <w:rPr>
                <w:b/>
                <w:lang w:val="en-GB"/>
              </w:rPr>
              <w:t xml:space="preserve"> Institute of Microbiology, Bulgarian Academy of Sciences, Sofia</w:t>
            </w:r>
          </w:p>
        </w:tc>
      </w:tr>
      <w:tr w:rsidR="00D86E0C" w:rsidTr="0047640D">
        <w:tc>
          <w:tcPr>
            <w:tcW w:w="2601" w:type="dxa"/>
            <w:vMerge/>
            <w:tcBorders>
              <w:top w:val="nil"/>
              <w:left w:val="nil"/>
              <w:bottom w:val="nil"/>
            </w:tcBorders>
          </w:tcPr>
          <w:p w:rsidR="00D86E0C" w:rsidRDefault="00D86E0C">
            <w:pPr>
              <w:spacing w:after="0" w:line="360" w:lineRule="auto"/>
              <w:rPr>
                <w:lang w:val="bg-BG"/>
              </w:rPr>
            </w:pPr>
          </w:p>
        </w:tc>
        <w:tc>
          <w:tcPr>
            <w:tcW w:w="8415" w:type="dxa"/>
            <w:tcBorders>
              <w:top w:val="nil"/>
              <w:bottom w:val="nil"/>
              <w:right w:val="nil"/>
            </w:tcBorders>
          </w:tcPr>
          <w:p w:rsidR="00D86E0C" w:rsidRDefault="007339FC">
            <w:pPr>
              <w:spacing w:after="0" w:line="360" w:lineRule="auto"/>
              <w:jc w:val="both"/>
              <w:rPr>
                <w:i/>
                <w:lang w:val="bg-BG"/>
              </w:rPr>
            </w:pPr>
            <w:r>
              <w:rPr>
                <w:i/>
              </w:rPr>
              <w:t>Contact person;</w:t>
            </w:r>
            <w:r>
              <w:rPr>
                <w:i/>
                <w:lang w:val="bg-BG"/>
              </w:rPr>
              <w:t xml:space="preserve"> </w:t>
            </w:r>
          </w:p>
          <w:p w:rsidR="00D86E0C" w:rsidRDefault="007339FC">
            <w:pPr>
              <w:spacing w:after="0" w:line="360" w:lineRule="auto"/>
              <w:jc w:val="both"/>
            </w:pPr>
            <w:r>
              <w:t xml:space="preserve">Prof. Angel S. </w:t>
            </w:r>
            <w:proofErr w:type="spellStart"/>
            <w:r>
              <w:t>Galabov</w:t>
            </w:r>
            <w:proofErr w:type="spellEnd"/>
            <w:r>
              <w:t>, MD, DSc, Academician (Regular Member) of the Bulgarian Academy of Sciences</w:t>
            </w:r>
          </w:p>
        </w:tc>
      </w:tr>
      <w:tr w:rsidR="00D86E0C" w:rsidTr="0047640D">
        <w:tc>
          <w:tcPr>
            <w:tcW w:w="2601" w:type="dxa"/>
            <w:vMerge/>
            <w:tcBorders>
              <w:top w:val="nil"/>
              <w:left w:val="nil"/>
            </w:tcBorders>
          </w:tcPr>
          <w:p w:rsidR="00D86E0C" w:rsidRDefault="00D86E0C">
            <w:pPr>
              <w:spacing w:after="0" w:line="360" w:lineRule="auto"/>
              <w:rPr>
                <w:lang w:val="bg-BG"/>
              </w:rPr>
            </w:pPr>
          </w:p>
        </w:tc>
        <w:tc>
          <w:tcPr>
            <w:tcW w:w="8415" w:type="dxa"/>
            <w:tcBorders>
              <w:top w:val="nil"/>
              <w:right w:val="nil"/>
            </w:tcBorders>
          </w:tcPr>
          <w:p w:rsidR="00D86E0C" w:rsidRDefault="007339FC">
            <w:pPr>
              <w:spacing w:after="0" w:line="360" w:lineRule="auto"/>
              <w:jc w:val="both"/>
              <w:rPr>
                <w:i/>
              </w:rPr>
            </w:pPr>
            <w:r>
              <w:rPr>
                <w:i/>
              </w:rPr>
              <w:t>e-mail</w:t>
            </w:r>
            <w:r w:rsidR="0047640D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w:hyperlink r:id="rId8" w:history="1">
              <w:r w:rsidR="0047640D" w:rsidRPr="00D8545E">
                <w:rPr>
                  <w:rStyle w:val="Hyperlink"/>
                  <w:i/>
                </w:rPr>
                <w:t>galabov@microbio.bas.bg</w:t>
              </w:r>
            </w:hyperlink>
            <w:r w:rsidR="0047640D">
              <w:rPr>
                <w:i/>
              </w:rPr>
              <w:t xml:space="preserve"> </w:t>
            </w:r>
          </w:p>
          <w:p w:rsidR="00D86E0C" w:rsidRDefault="00D86E0C">
            <w:pPr>
              <w:spacing w:after="0" w:line="360" w:lineRule="auto"/>
              <w:jc w:val="both"/>
              <w:rPr>
                <w:i/>
              </w:rPr>
            </w:pPr>
          </w:p>
        </w:tc>
      </w:tr>
      <w:tr w:rsidR="00D86E0C" w:rsidTr="0047640D">
        <w:tc>
          <w:tcPr>
            <w:tcW w:w="11016" w:type="dxa"/>
            <w:gridSpan w:val="2"/>
            <w:tcBorders>
              <w:bottom w:val="nil"/>
              <w:right w:val="nil"/>
            </w:tcBorders>
          </w:tcPr>
          <w:p w:rsidR="00D86E0C" w:rsidRDefault="007339F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462"/>
            </w:pPr>
            <w:r>
              <w:rPr>
                <w:b/>
              </w:rPr>
              <w:t>POSIBLE PARTNERS</w:t>
            </w:r>
          </w:p>
        </w:tc>
      </w:tr>
      <w:tr w:rsidR="00D86E0C" w:rsidTr="0047640D">
        <w:trPr>
          <w:trHeight w:val="275"/>
        </w:trPr>
        <w:tc>
          <w:tcPr>
            <w:tcW w:w="2601" w:type="dxa"/>
            <w:vMerge w:val="restart"/>
            <w:tcBorders>
              <w:top w:val="nil"/>
              <w:left w:val="nil"/>
              <w:bottom w:val="nil"/>
            </w:tcBorders>
          </w:tcPr>
          <w:p w:rsidR="00D86E0C" w:rsidRDefault="007339FC">
            <w:pPr>
              <w:spacing w:after="0" w:line="360" w:lineRule="auto"/>
            </w:pPr>
            <w:r>
              <w:t>Indicate the partner organizations</w:t>
            </w:r>
            <w:r>
              <w:rPr>
                <w:lang w:val="bg-BG"/>
              </w:rPr>
              <w:t xml:space="preserve"> </w:t>
            </w:r>
          </w:p>
        </w:tc>
        <w:tc>
          <w:tcPr>
            <w:tcW w:w="8415" w:type="dxa"/>
            <w:tcBorders>
              <w:top w:val="nil"/>
              <w:bottom w:val="nil"/>
              <w:right w:val="nil"/>
            </w:tcBorders>
          </w:tcPr>
          <w:p w:rsidR="00D86E0C" w:rsidRPr="00986652" w:rsidRDefault="00986652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Institute of organic chemistry with </w:t>
            </w:r>
            <w:proofErr w:type="spellStart"/>
            <w:r>
              <w:rPr>
                <w:b/>
              </w:rPr>
              <w:t>centre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phytochemistry</w:t>
            </w:r>
            <w:proofErr w:type="spellEnd"/>
          </w:p>
        </w:tc>
      </w:tr>
      <w:tr w:rsidR="00D86E0C" w:rsidTr="0047640D">
        <w:trPr>
          <w:trHeight w:val="275"/>
        </w:trPr>
        <w:tc>
          <w:tcPr>
            <w:tcW w:w="2601" w:type="dxa"/>
            <w:vMerge/>
            <w:tcBorders>
              <w:top w:val="nil"/>
              <w:left w:val="nil"/>
              <w:bottom w:val="nil"/>
            </w:tcBorders>
          </w:tcPr>
          <w:p w:rsidR="00D86E0C" w:rsidRDefault="00D86E0C">
            <w:pPr>
              <w:spacing w:after="0" w:line="360" w:lineRule="auto"/>
              <w:rPr>
                <w:lang w:val="bg-BG"/>
              </w:rPr>
            </w:pPr>
          </w:p>
        </w:tc>
        <w:tc>
          <w:tcPr>
            <w:tcW w:w="8415" w:type="dxa"/>
            <w:tcBorders>
              <w:top w:val="nil"/>
              <w:bottom w:val="nil"/>
              <w:right w:val="nil"/>
            </w:tcBorders>
          </w:tcPr>
          <w:p w:rsidR="00D86E0C" w:rsidRDefault="007339FC">
            <w:pPr>
              <w:spacing w:after="0" w:line="360" w:lineRule="auto"/>
              <w:rPr>
                <w:i/>
              </w:rPr>
            </w:pPr>
            <w:r>
              <w:rPr>
                <w:i/>
              </w:rPr>
              <w:t>Contact person;</w:t>
            </w:r>
          </w:p>
          <w:p w:rsidR="00D86E0C" w:rsidRDefault="00986652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Assoc. Prof. Georgi </w:t>
            </w:r>
            <w:proofErr w:type="spellStart"/>
            <w:r>
              <w:rPr>
                <w:b/>
              </w:rPr>
              <w:t>Dobrikov</w:t>
            </w:r>
            <w:proofErr w:type="spellEnd"/>
          </w:p>
        </w:tc>
      </w:tr>
      <w:tr w:rsidR="00D86E0C" w:rsidTr="0047640D">
        <w:trPr>
          <w:trHeight w:val="275"/>
        </w:trPr>
        <w:tc>
          <w:tcPr>
            <w:tcW w:w="2601" w:type="dxa"/>
            <w:vMerge/>
            <w:tcBorders>
              <w:top w:val="nil"/>
              <w:left w:val="nil"/>
              <w:bottom w:val="nil"/>
            </w:tcBorders>
          </w:tcPr>
          <w:p w:rsidR="00D86E0C" w:rsidRDefault="00D86E0C">
            <w:pPr>
              <w:spacing w:after="0" w:line="360" w:lineRule="auto"/>
              <w:rPr>
                <w:lang w:val="bg-BG"/>
              </w:rPr>
            </w:pPr>
          </w:p>
        </w:tc>
        <w:tc>
          <w:tcPr>
            <w:tcW w:w="8415" w:type="dxa"/>
            <w:tcBorders>
              <w:top w:val="nil"/>
              <w:bottom w:val="nil"/>
              <w:right w:val="nil"/>
            </w:tcBorders>
          </w:tcPr>
          <w:p w:rsidR="00D86E0C" w:rsidRPr="0047640D" w:rsidRDefault="007339FC">
            <w:pPr>
              <w:spacing w:after="0" w:line="360" w:lineRule="auto"/>
              <w:rPr>
                <w:i/>
                <w:lang w:val="bg-BG"/>
              </w:rPr>
            </w:pPr>
            <w:r>
              <w:rPr>
                <w:i/>
              </w:rPr>
              <w:t>e-mail</w:t>
            </w:r>
            <w:r w:rsidR="0047640D">
              <w:rPr>
                <w:i/>
                <w:lang w:val="bg-BG"/>
              </w:rPr>
              <w:t xml:space="preserve">: </w:t>
            </w:r>
            <w:hyperlink r:id="rId9" w:history="1">
              <w:r w:rsidR="0047640D" w:rsidRPr="00D8545E">
                <w:rPr>
                  <w:rStyle w:val="Hyperlink"/>
                  <w:i/>
                  <w:lang w:val="bg-BG"/>
                </w:rPr>
                <w:t>gmdob@orgchm.bas.bg</w:t>
              </w:r>
            </w:hyperlink>
            <w:r w:rsidR="0047640D">
              <w:rPr>
                <w:i/>
                <w:lang w:val="bg-BG"/>
              </w:rPr>
              <w:t xml:space="preserve"> </w:t>
            </w:r>
          </w:p>
        </w:tc>
      </w:tr>
      <w:tr w:rsidR="0047640D" w:rsidTr="0047640D">
        <w:trPr>
          <w:gridAfter w:val="1"/>
          <w:wAfter w:w="8415" w:type="dxa"/>
          <w:trHeight w:val="414"/>
        </w:trPr>
        <w:tc>
          <w:tcPr>
            <w:tcW w:w="2601" w:type="dxa"/>
            <w:vMerge/>
            <w:tcBorders>
              <w:top w:val="nil"/>
              <w:left w:val="nil"/>
              <w:bottom w:val="nil"/>
            </w:tcBorders>
          </w:tcPr>
          <w:p w:rsidR="0047640D" w:rsidRDefault="0047640D">
            <w:pPr>
              <w:spacing w:after="0" w:line="360" w:lineRule="auto"/>
              <w:rPr>
                <w:lang w:val="bg-BG"/>
              </w:rPr>
            </w:pPr>
          </w:p>
        </w:tc>
      </w:tr>
    </w:tbl>
    <w:p w:rsidR="00D86E0C" w:rsidRDefault="007339FC" w:rsidP="003836B9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b/>
        </w:rPr>
      </w:pPr>
      <w:r>
        <w:rPr>
          <w:b/>
        </w:rPr>
        <w:t>IMPLEMENTED AND RUNNING PROJECTS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01"/>
        <w:gridCol w:w="8415"/>
      </w:tblGrid>
      <w:tr w:rsidR="00D86E0C" w:rsidTr="003836B9">
        <w:trPr>
          <w:trHeight w:val="568"/>
        </w:trPr>
        <w:tc>
          <w:tcPr>
            <w:tcW w:w="2601" w:type="dxa"/>
            <w:tcBorders>
              <w:top w:val="nil"/>
              <w:left w:val="nil"/>
              <w:bottom w:val="nil"/>
            </w:tcBorders>
          </w:tcPr>
          <w:p w:rsidR="00D86E0C" w:rsidRDefault="007339FC">
            <w:pPr>
              <w:spacing w:after="0" w:line="360" w:lineRule="auto"/>
            </w:pPr>
            <w:r>
              <w:lastRenderedPageBreak/>
              <w:t>Projects related to virology, vaccines, infection diseases …</w:t>
            </w:r>
          </w:p>
        </w:tc>
        <w:tc>
          <w:tcPr>
            <w:tcW w:w="8415" w:type="dxa"/>
            <w:tcBorders>
              <w:top w:val="nil"/>
              <w:bottom w:val="nil"/>
              <w:right w:val="nil"/>
            </w:tcBorders>
          </w:tcPr>
          <w:p w:rsidR="00402517" w:rsidRDefault="00402517" w:rsidP="001431F1">
            <w:pPr>
              <w:suppressAutoHyphens w:val="0"/>
              <w:spacing w:after="0"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We have not publications on testing against coronaviruses.</w:t>
            </w:r>
          </w:p>
          <w:p w:rsidR="00D86E0C" w:rsidRPr="003836B9" w:rsidRDefault="00D86E0C" w:rsidP="00402517">
            <w:pPr>
              <w:suppressAutoHyphens w:val="0"/>
              <w:spacing w:after="0" w:line="360" w:lineRule="auto"/>
              <w:jc w:val="both"/>
              <w:rPr>
                <w:rFonts w:eastAsia="Calibri" w:cs="Times New Roman"/>
                <w:szCs w:val="24"/>
                <w:lang w:val="en-GB"/>
              </w:rPr>
            </w:pPr>
          </w:p>
        </w:tc>
      </w:tr>
    </w:tbl>
    <w:p w:rsidR="003257E0" w:rsidRDefault="003257E0">
      <w:pPr>
        <w:rPr>
          <w:b/>
        </w:rPr>
      </w:pPr>
    </w:p>
    <w:p w:rsidR="003257E0" w:rsidRDefault="003257E0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D86E0C" w:rsidRDefault="00D86E0C">
      <w:pPr>
        <w:rPr>
          <w:b/>
        </w:rPr>
      </w:pPr>
    </w:p>
    <w:sectPr w:rsidR="00D86E0C" w:rsidSect="00146474">
      <w:pgSz w:w="12240" w:h="15840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85244"/>
    <w:multiLevelType w:val="multilevel"/>
    <w:tmpl w:val="65C83D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5E902A4"/>
    <w:multiLevelType w:val="multilevel"/>
    <w:tmpl w:val="178489E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F710E"/>
    <w:multiLevelType w:val="hybridMultilevel"/>
    <w:tmpl w:val="C5D87F50"/>
    <w:lvl w:ilvl="0" w:tplc="B0265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D86E0C"/>
    <w:rsid w:val="001431F1"/>
    <w:rsid w:val="00146474"/>
    <w:rsid w:val="003257E0"/>
    <w:rsid w:val="003836B9"/>
    <w:rsid w:val="00402517"/>
    <w:rsid w:val="00421355"/>
    <w:rsid w:val="0047640D"/>
    <w:rsid w:val="004C52FB"/>
    <w:rsid w:val="007339FC"/>
    <w:rsid w:val="00986652"/>
    <w:rsid w:val="00D8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D08F7-8249-41BC-86D1-93396465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45B84"/>
  </w:style>
  <w:style w:type="character" w:customStyle="1" w:styleId="FooterChar">
    <w:name w:val="Footer Char"/>
    <w:basedOn w:val="DefaultParagraphFont"/>
    <w:link w:val="Footer"/>
    <w:uiPriority w:val="99"/>
    <w:qFormat/>
    <w:rsid w:val="00145B84"/>
  </w:style>
  <w:style w:type="character" w:styleId="PlaceholderText">
    <w:name w:val="Placeholder Text"/>
    <w:basedOn w:val="DefaultParagraphFont"/>
    <w:uiPriority w:val="99"/>
    <w:semiHidden/>
    <w:qFormat/>
    <w:rsid w:val="001060C4"/>
    <w:rPr>
      <w:color w:val="808080"/>
    </w:rPr>
  </w:style>
  <w:style w:type="character" w:styleId="IntenseReference">
    <w:name w:val="Intense Reference"/>
    <w:basedOn w:val="DefaultParagraphFont"/>
    <w:uiPriority w:val="32"/>
    <w:qFormat/>
    <w:rsid w:val="00AF68F2"/>
    <w:rPr>
      <w:b/>
      <w:bCs/>
      <w:smallCaps/>
      <w:color w:val="5B9BD5" w:themeColor="accent1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F22A0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F22A08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F22A08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22A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624B"/>
    <w:rPr>
      <w:color w:val="0563C1" w:themeColor="hyperlink"/>
      <w:u w:val="single"/>
    </w:rPr>
  </w:style>
  <w:style w:type="paragraph" w:customStyle="1" w:styleId="Heading">
    <w:name w:val="Heading"/>
    <w:basedOn w:val="Normal"/>
    <w:next w:val="BodyText"/>
    <w:qFormat/>
    <w:rsid w:val="001464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146474"/>
    <w:pPr>
      <w:spacing w:after="140" w:line="276" w:lineRule="auto"/>
    </w:pPr>
  </w:style>
  <w:style w:type="paragraph" w:styleId="List">
    <w:name w:val="List"/>
    <w:basedOn w:val="BodyText"/>
    <w:rsid w:val="00146474"/>
    <w:rPr>
      <w:rFonts w:cs="Arial"/>
    </w:rPr>
  </w:style>
  <w:style w:type="paragraph" w:styleId="Caption">
    <w:name w:val="caption"/>
    <w:basedOn w:val="Normal"/>
    <w:qFormat/>
    <w:rsid w:val="0014647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rsid w:val="00146474"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  <w:rsid w:val="00146474"/>
  </w:style>
  <w:style w:type="paragraph" w:styleId="Header">
    <w:name w:val="header"/>
    <w:basedOn w:val="Normal"/>
    <w:link w:val="HeaderChar"/>
    <w:uiPriority w:val="99"/>
    <w:unhideWhenUsed/>
    <w:rsid w:val="00145B84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45B84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106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F22A08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F22A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22A0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FA465C"/>
    <w:pPr>
      <w:spacing w:after="200" w:line="276" w:lineRule="auto"/>
      <w:textAlignment w:val="baseline"/>
    </w:pPr>
    <w:rPr>
      <w:rFonts w:ascii="Calibri" w:eastAsia="SimSun" w:hAnsi="Calibri" w:cs="Calibri"/>
      <w:kern w:val="2"/>
      <w:sz w:val="22"/>
      <w:lang w:val="bg-BG"/>
    </w:rPr>
  </w:style>
  <w:style w:type="paragraph" w:styleId="Revision">
    <w:name w:val="Revision"/>
    <w:uiPriority w:val="99"/>
    <w:semiHidden/>
    <w:qFormat/>
    <w:rsid w:val="003E64A8"/>
  </w:style>
  <w:style w:type="table" w:styleId="TableGrid">
    <w:name w:val="Table Grid"/>
    <w:basedOn w:val="TableNormal"/>
    <w:uiPriority w:val="39"/>
    <w:rsid w:val="00651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abov@microbio.bas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n_georgiev@uni-sofi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pouzova@biofac.uni-sofia.b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icrobio.bas.bg/wordpress/index.php/e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mdob@orgchm.ba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Юмер Коджаюмер</dc:creator>
  <cp:lastModifiedBy>Milena M Glavcheva</cp:lastModifiedBy>
  <cp:revision>7</cp:revision>
  <dcterms:created xsi:type="dcterms:W3CDTF">2020-04-03T10:04:00Z</dcterms:created>
  <dcterms:modified xsi:type="dcterms:W3CDTF">2020-04-10T11:44:00Z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